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06DF" w14:textId="4C437E78" w:rsidR="00AC6A08" w:rsidRPr="002D629C" w:rsidRDefault="00AC6A08" w:rsidP="008D1BE6">
      <w:pPr>
        <w:rPr>
          <w:rFonts w:ascii="Arial" w:hAnsi="Arial" w:cs="Arial"/>
          <w:color w:val="0050FF" w:themeColor="text2"/>
          <w:sz w:val="36"/>
          <w:szCs w:val="36"/>
        </w:rPr>
      </w:pPr>
      <w:proofErr w:type="spellStart"/>
      <w:r w:rsidRPr="002D629C">
        <w:rPr>
          <w:rFonts w:ascii="Arial" w:hAnsi="Arial" w:cs="Arial"/>
          <w:color w:val="0050FF" w:themeColor="text2"/>
          <w:sz w:val="36"/>
          <w:szCs w:val="36"/>
        </w:rPr>
        <w:t>ADKAR</w:t>
      </w:r>
      <w:proofErr w:type="spellEnd"/>
      <w:r w:rsidRPr="002D629C">
        <w:rPr>
          <w:rFonts w:ascii="Arial" w:hAnsi="Arial" w:cs="Arial"/>
          <w:color w:val="0050FF" w:themeColor="text2"/>
          <w:sz w:val="36"/>
          <w:szCs w:val="36"/>
        </w:rPr>
        <w:t xml:space="preserve"> change management approach</w:t>
      </w:r>
    </w:p>
    <w:p w14:paraId="4BE91DB5" w14:textId="40A95536" w:rsidR="00AC6A08" w:rsidRPr="002D629C" w:rsidRDefault="00180D53" w:rsidP="00AC6A08">
      <w:pPr>
        <w:rPr>
          <w:rFonts w:ascii="Times New Roman" w:hAnsi="Times New Roman" w:cs="Times New Roman"/>
          <w:color w:val="63666A" w:themeColor="text1"/>
        </w:rPr>
      </w:pPr>
      <w:r w:rsidRPr="00180D53">
        <w:rPr>
          <w:rFonts w:ascii="Times New Roman" w:hAnsi="Times New Roman" w:cs="Times New Roman"/>
          <w:color w:val="63666A" w:themeColor="text1"/>
        </w:rPr>
        <w:t xml:space="preserve">Use the </w:t>
      </w:r>
      <w:proofErr w:type="spellStart"/>
      <w:r w:rsidRPr="00180D53">
        <w:rPr>
          <w:rFonts w:ascii="Times New Roman" w:hAnsi="Times New Roman" w:cs="Times New Roman"/>
          <w:color w:val="63666A" w:themeColor="text1"/>
        </w:rPr>
        <w:t>ADKAR</w:t>
      </w:r>
      <w:proofErr w:type="spellEnd"/>
      <w:r w:rsidRPr="00180D53">
        <w:rPr>
          <w:rFonts w:ascii="Times New Roman" w:hAnsi="Times New Roman" w:cs="Times New Roman"/>
          <w:color w:val="63666A" w:themeColor="text1"/>
        </w:rPr>
        <w:t xml:space="preserve"> change management tool to assist in the development of effective communication and support activities to coach and lead employee through the change</w:t>
      </w:r>
      <w:r>
        <w:rPr>
          <w:rFonts w:ascii="Times New Roman" w:hAnsi="Times New Roman" w:cs="Times New Roman"/>
          <w:color w:val="63666A" w:themeColor="text1"/>
        </w:rPr>
        <w:t>.</w:t>
      </w:r>
      <w:r w:rsidR="008D1BE6" w:rsidRPr="002D629C">
        <w:rPr>
          <w:rFonts w:ascii="Times New Roman" w:hAnsi="Times New Roman" w:cs="Times New Roman"/>
          <w:color w:val="63666A" w:themeColor="text1"/>
        </w:rPr>
        <w:br/>
      </w:r>
    </w:p>
    <w:tbl>
      <w:tblPr>
        <w:tblStyle w:val="TableGrid"/>
        <w:tblW w:w="0" w:type="auto"/>
        <w:tblBorders>
          <w:top w:val="single" w:sz="4" w:space="0" w:color="0050FF" w:themeColor="text2"/>
          <w:left w:val="single" w:sz="4" w:space="0" w:color="0050FF" w:themeColor="text2"/>
          <w:bottom w:val="single" w:sz="4" w:space="0" w:color="0050FF" w:themeColor="text2"/>
          <w:right w:val="single" w:sz="4" w:space="0" w:color="0050FF" w:themeColor="text2"/>
          <w:insideH w:val="none" w:sz="0" w:space="0" w:color="auto"/>
          <w:insideV w:val="single" w:sz="4" w:space="0" w:color="0050FF" w:themeColor="text2"/>
        </w:tblBorders>
        <w:tblLook w:val="04A0" w:firstRow="1" w:lastRow="0" w:firstColumn="1" w:lastColumn="0" w:noHBand="0" w:noVBand="1"/>
      </w:tblPr>
      <w:tblGrid>
        <w:gridCol w:w="1388"/>
        <w:gridCol w:w="3300"/>
        <w:gridCol w:w="2334"/>
        <w:gridCol w:w="2328"/>
      </w:tblGrid>
      <w:tr w:rsidR="00AC6A08" w:rsidRPr="00240F51" w14:paraId="7EF4FC5C" w14:textId="77777777" w:rsidTr="008D1BE6">
        <w:tc>
          <w:tcPr>
            <w:tcW w:w="1345" w:type="dxa"/>
            <w:tcBorders>
              <w:top w:val="single" w:sz="4" w:space="0" w:color="0050FF" w:themeColor="text2"/>
              <w:bottom w:val="nil"/>
              <w:right w:val="single" w:sz="4" w:space="0" w:color="FFFFFF" w:themeColor="background1"/>
            </w:tcBorders>
            <w:shd w:val="clear" w:color="auto" w:fill="0050FF" w:themeFill="text2"/>
          </w:tcPr>
          <w:p w14:paraId="492581B2" w14:textId="77777777" w:rsidR="00AC6A08" w:rsidRPr="002D629C" w:rsidRDefault="00AC6A08" w:rsidP="008D1BE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2D629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ADKAR</w:t>
            </w:r>
            <w:proofErr w:type="spellEnd"/>
          </w:p>
        </w:tc>
        <w:tc>
          <w:tcPr>
            <w:tcW w:w="3329" w:type="dxa"/>
            <w:tcBorders>
              <w:top w:val="single" w:sz="4" w:space="0" w:color="0050FF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0FF" w:themeFill="text2"/>
          </w:tcPr>
          <w:p w14:paraId="3EED5471" w14:textId="77777777" w:rsidR="00AC6A08" w:rsidRPr="002D629C" w:rsidRDefault="00AC6A08" w:rsidP="008D1BE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D629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Objective</w:t>
            </w:r>
          </w:p>
        </w:tc>
        <w:tc>
          <w:tcPr>
            <w:tcW w:w="2338" w:type="dxa"/>
            <w:tcBorders>
              <w:top w:val="single" w:sz="4" w:space="0" w:color="0050FF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0FF" w:themeFill="text2"/>
          </w:tcPr>
          <w:p w14:paraId="31CD5788" w14:textId="77777777" w:rsidR="00AC6A08" w:rsidRPr="002D629C" w:rsidRDefault="00AC6A08" w:rsidP="008D1BE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D629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Tactics</w:t>
            </w:r>
          </w:p>
        </w:tc>
        <w:tc>
          <w:tcPr>
            <w:tcW w:w="2338" w:type="dxa"/>
            <w:tcBorders>
              <w:top w:val="single" w:sz="4" w:space="0" w:color="0050FF" w:themeColor="text2"/>
              <w:left w:val="single" w:sz="4" w:space="0" w:color="FFFFFF" w:themeColor="background1"/>
              <w:bottom w:val="nil"/>
            </w:tcBorders>
            <w:shd w:val="clear" w:color="auto" w:fill="0050FF" w:themeFill="text2"/>
          </w:tcPr>
          <w:p w14:paraId="2DA3C623" w14:textId="77777777" w:rsidR="00AC6A08" w:rsidRPr="002D629C" w:rsidRDefault="00AC6A08" w:rsidP="008D1BE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D629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Examples</w:t>
            </w:r>
          </w:p>
        </w:tc>
      </w:tr>
      <w:tr w:rsidR="008D1BE6" w:rsidRPr="002D629C" w14:paraId="52C89194" w14:textId="77777777" w:rsidTr="008D1BE6">
        <w:tc>
          <w:tcPr>
            <w:tcW w:w="1345" w:type="dxa"/>
            <w:tcBorders>
              <w:top w:val="nil"/>
            </w:tcBorders>
          </w:tcPr>
          <w:p w14:paraId="6351284E" w14:textId="77777777" w:rsidR="008D1BE6" w:rsidRPr="002D629C" w:rsidRDefault="00AC6A08" w:rsidP="007D65D1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  <w:r w:rsidRPr="002D629C">
              <w:rPr>
                <w:rFonts w:ascii="Arial" w:hAnsi="Arial" w:cs="Arial"/>
                <w:color w:val="0050FF" w:themeColor="text2"/>
                <w:sz w:val="18"/>
                <w:szCs w:val="18"/>
              </w:rPr>
              <w:t>Awareness</w:t>
            </w:r>
          </w:p>
          <w:p w14:paraId="178258D9" w14:textId="7717B394" w:rsidR="00AC6A08" w:rsidRPr="002D629C" w:rsidRDefault="00AC6A08" w:rsidP="007D65D1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  <w:t>of the need for change</w:t>
            </w:r>
          </w:p>
        </w:tc>
        <w:tc>
          <w:tcPr>
            <w:tcW w:w="3329" w:type="dxa"/>
            <w:tcBorders>
              <w:top w:val="nil"/>
            </w:tcBorders>
          </w:tcPr>
          <w:p w14:paraId="7E974762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 compelling reasons for the change and emphasize the risk of not changing</w:t>
            </w:r>
          </w:p>
          <w:p w14:paraId="0C9A708B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Explain why the change is necessary</w:t>
            </w:r>
          </w:p>
          <w:p w14:paraId="1BDC3461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 updates on project milestones and outcomes, as available</w:t>
            </w:r>
          </w:p>
        </w:tc>
        <w:tc>
          <w:tcPr>
            <w:tcW w:w="2338" w:type="dxa"/>
            <w:tcBorders>
              <w:top w:val="nil"/>
            </w:tcBorders>
          </w:tcPr>
          <w:p w14:paraId="69D22356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Communicate through multiple channels</w:t>
            </w:r>
          </w:p>
          <w:p w14:paraId="3DA279A0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Use Executive Sponsor to communicate “why”</w:t>
            </w:r>
          </w:p>
          <w:p w14:paraId="1D20D1BC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Equip Sponsors and Agents to communicate/affirm messages</w:t>
            </w:r>
          </w:p>
          <w:p w14:paraId="0F1ACE46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Make information easily and readily accessible</w:t>
            </w:r>
          </w:p>
        </w:tc>
        <w:tc>
          <w:tcPr>
            <w:tcW w:w="2338" w:type="dxa"/>
            <w:tcBorders>
              <w:top w:val="nil"/>
            </w:tcBorders>
          </w:tcPr>
          <w:p w14:paraId="12681705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Face to face Meetings</w:t>
            </w:r>
          </w:p>
          <w:p w14:paraId="3E47C826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Team Meetings</w:t>
            </w:r>
          </w:p>
          <w:p w14:paraId="62D62F85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One-on-One Communications</w:t>
            </w:r>
          </w:p>
          <w:p w14:paraId="4DE9F9BA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Town Hall</w:t>
            </w:r>
          </w:p>
          <w:p w14:paraId="241E2A71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Email</w:t>
            </w:r>
          </w:p>
          <w:p w14:paraId="344EEAAC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Newsletters</w:t>
            </w:r>
          </w:p>
          <w:p w14:paraId="528D961C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Intranet</w:t>
            </w:r>
          </w:p>
          <w:p w14:paraId="1CC490E8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Executive Presentations</w:t>
            </w:r>
          </w:p>
          <w:p w14:paraId="3BF7DADD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Phone Conferences</w:t>
            </w:r>
          </w:p>
          <w:p w14:paraId="2E942E2C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Video Messaging</w:t>
            </w:r>
          </w:p>
          <w:p w14:paraId="05BC1851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Poster/Banners</w:t>
            </w:r>
          </w:p>
          <w:p w14:paraId="1BFD9619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Video Messages</w:t>
            </w:r>
          </w:p>
          <w:p w14:paraId="6A73F92C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Demonstrations</w:t>
            </w:r>
          </w:p>
          <w:p w14:paraId="7E2B00BF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Display Boards</w:t>
            </w:r>
          </w:p>
        </w:tc>
      </w:tr>
      <w:tr w:rsidR="008D1BE6" w:rsidRPr="002D629C" w14:paraId="338CF142" w14:textId="77777777" w:rsidTr="008D1BE6">
        <w:tc>
          <w:tcPr>
            <w:tcW w:w="1345" w:type="dxa"/>
            <w:shd w:val="clear" w:color="auto" w:fill="F2F2F2" w:themeFill="background1" w:themeFillShade="F2"/>
          </w:tcPr>
          <w:p w14:paraId="554413D0" w14:textId="77777777" w:rsidR="008D1BE6" w:rsidRPr="002D629C" w:rsidRDefault="00AC6A08" w:rsidP="007D65D1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  <w:r w:rsidRPr="002D629C">
              <w:rPr>
                <w:rFonts w:ascii="Arial" w:hAnsi="Arial" w:cs="Arial"/>
                <w:color w:val="0050FF" w:themeColor="text2"/>
                <w:sz w:val="18"/>
                <w:szCs w:val="18"/>
              </w:rPr>
              <w:t xml:space="preserve">Desire </w:t>
            </w:r>
          </w:p>
          <w:p w14:paraId="7385ADB5" w14:textId="3B8415C6" w:rsidR="00AC6A08" w:rsidRPr="002D629C" w:rsidRDefault="00AC6A08" w:rsidP="007D65D1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  <w:t>to participate in and support the change</w:t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14:paraId="6A65FBE0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Identify the specific benefit of changing to the individual</w:t>
            </w:r>
          </w:p>
          <w:p w14:paraId="657CBBC8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 xml:space="preserve">Anticipate and address the perceived losses to the individual as a result of the change </w:t>
            </w:r>
          </w:p>
          <w:p w14:paraId="7D3CC7B6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 opportunities for individuals to process and receive support for the change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FC68C14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Assess impact and anticipated resistance</w:t>
            </w:r>
          </w:p>
          <w:p w14:paraId="1EF89197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Establish incentives</w:t>
            </w:r>
          </w:p>
          <w:p w14:paraId="40F61BC8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Engage employees in the change process</w:t>
            </w:r>
          </w:p>
          <w:p w14:paraId="3C949DE6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Equip Sponsors &amp; Agents to be change leaders</w:t>
            </w:r>
          </w:p>
          <w:p w14:paraId="2C7A5D05" w14:textId="77777777" w:rsidR="00AC6A08" w:rsidRPr="002D629C" w:rsidRDefault="00AC6A08" w:rsidP="008D1BE6">
            <w:p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6D4F41D6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Roundtable Meetings with Executive Sponsor</w:t>
            </w:r>
          </w:p>
          <w:p w14:paraId="149D915A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 xml:space="preserve">Update performance management system/process </w:t>
            </w:r>
          </w:p>
          <w:p w14:paraId="7BDDDEAB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Change Management Training</w:t>
            </w:r>
          </w:p>
          <w:p w14:paraId="09B43013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System Walkthroughs</w:t>
            </w:r>
          </w:p>
          <w:p w14:paraId="60A4F662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User Acceptance Testing</w:t>
            </w:r>
          </w:p>
        </w:tc>
      </w:tr>
      <w:tr w:rsidR="008D1BE6" w:rsidRPr="002D629C" w14:paraId="34CC80AC" w14:textId="77777777" w:rsidTr="008D1BE6">
        <w:tc>
          <w:tcPr>
            <w:tcW w:w="1345" w:type="dxa"/>
          </w:tcPr>
          <w:p w14:paraId="504B4378" w14:textId="77777777" w:rsidR="008D1BE6" w:rsidRPr="002D629C" w:rsidRDefault="00AC6A08" w:rsidP="007D65D1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  <w:r w:rsidRPr="002D629C">
              <w:rPr>
                <w:rFonts w:ascii="Arial" w:hAnsi="Arial" w:cs="Arial"/>
                <w:color w:val="0050FF" w:themeColor="text2"/>
                <w:sz w:val="18"/>
                <w:szCs w:val="18"/>
              </w:rPr>
              <w:t xml:space="preserve">Knowledge </w:t>
            </w:r>
          </w:p>
          <w:p w14:paraId="41103AC8" w14:textId="21804106" w:rsidR="00AC6A08" w:rsidRPr="002D629C" w:rsidRDefault="00AC6A08" w:rsidP="007D65D1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  <w:t>on how to change</w:t>
            </w:r>
          </w:p>
        </w:tc>
        <w:tc>
          <w:tcPr>
            <w:tcW w:w="3329" w:type="dxa"/>
          </w:tcPr>
          <w:p w14:paraId="26ABE146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Provided detailed information on how to perform a new process, tool or behavior</w:t>
            </w:r>
          </w:p>
          <w:p w14:paraId="2AEE135F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Clarify expectations for behavior and performance during and after the change</w:t>
            </w:r>
          </w:p>
          <w:p w14:paraId="0A69EE4B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 training and education on the skills and behaviors needed to change</w:t>
            </w:r>
          </w:p>
        </w:tc>
        <w:tc>
          <w:tcPr>
            <w:tcW w:w="2338" w:type="dxa"/>
          </w:tcPr>
          <w:p w14:paraId="1CE7715D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Offer training and education programs</w:t>
            </w:r>
          </w:p>
          <w:p w14:paraId="75F4C683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Create job-aids</w:t>
            </w:r>
          </w:p>
          <w:p w14:paraId="4A70859A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Establish user groups and forums</w:t>
            </w:r>
          </w:p>
          <w:p w14:paraId="59C24214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 one-on-one coaching</w:t>
            </w:r>
          </w:p>
        </w:tc>
        <w:tc>
          <w:tcPr>
            <w:tcW w:w="2338" w:type="dxa"/>
          </w:tcPr>
          <w:p w14:paraId="0C6DF101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Job-Aids</w:t>
            </w:r>
          </w:p>
          <w:p w14:paraId="70C370E0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Peer learning programs</w:t>
            </w:r>
          </w:p>
          <w:p w14:paraId="14CE4673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FAQs</w:t>
            </w:r>
          </w:p>
          <w:p w14:paraId="48717408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Webinars</w:t>
            </w:r>
          </w:p>
          <w:p w14:paraId="437D30F8" w14:textId="77777777" w:rsidR="00AC6A08" w:rsidRPr="002D629C" w:rsidRDefault="00AC6A08" w:rsidP="008D1BE6">
            <w:p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</w:tr>
      <w:tr w:rsidR="008D1BE6" w:rsidRPr="002D629C" w14:paraId="3D1E0317" w14:textId="77777777" w:rsidTr="008D1BE6">
        <w:tc>
          <w:tcPr>
            <w:tcW w:w="1345" w:type="dxa"/>
            <w:shd w:val="clear" w:color="auto" w:fill="F2F2F2" w:themeFill="background1" w:themeFillShade="F2"/>
          </w:tcPr>
          <w:p w14:paraId="209D3A16" w14:textId="77777777" w:rsidR="008D1BE6" w:rsidRPr="002D629C" w:rsidRDefault="00AC6A08" w:rsidP="007D65D1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  <w:r w:rsidRPr="002D629C">
              <w:rPr>
                <w:rFonts w:ascii="Arial" w:hAnsi="Arial" w:cs="Arial"/>
                <w:color w:val="0050FF" w:themeColor="text2"/>
                <w:sz w:val="18"/>
                <w:szCs w:val="18"/>
              </w:rPr>
              <w:t xml:space="preserve">Ability </w:t>
            </w:r>
          </w:p>
          <w:p w14:paraId="24711383" w14:textId="472961F4" w:rsidR="00AC6A08" w:rsidRPr="002D629C" w:rsidRDefault="00AC6A08" w:rsidP="007D65D1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  <w:t xml:space="preserve">to </w:t>
            </w:r>
            <w:r w:rsidR="008D1BE6" w:rsidRPr="002D629C"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  <w:t>d</w:t>
            </w:r>
            <w:r w:rsidRPr="002D629C"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  <w:t>emonstrate skills and behaviors</w:t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14:paraId="210657F1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 opportunities to demonstrate ability to perform new process, tool or behavior</w:t>
            </w:r>
          </w:p>
          <w:p w14:paraId="0B6879BE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Identify and remove barriers that impact ability</w:t>
            </w:r>
          </w:p>
          <w:p w14:paraId="4213228C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Create a safe environment that allows employees to practice and make mistakes without retribution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73213B5C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 access to Subject Matter Experts</w:t>
            </w:r>
          </w:p>
          <w:p w14:paraId="5CEF24D7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Provide hands-on exercise during training</w:t>
            </w:r>
          </w:p>
          <w:p w14:paraId="5D654603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Equip Managers/Supervisors to monitor performance</w:t>
            </w:r>
          </w:p>
          <w:p w14:paraId="113BCF3D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Offer accommodations for physical and intellectual capabilities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E8A0B16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Office Hours</w:t>
            </w:r>
          </w:p>
          <w:p w14:paraId="50D8201C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Q&amp;A Sessions</w:t>
            </w:r>
          </w:p>
          <w:p w14:paraId="0E54B934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Observation &amp; Feedback Requests</w:t>
            </w:r>
          </w:p>
          <w:p w14:paraId="6351AA00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Development Plans</w:t>
            </w:r>
          </w:p>
          <w:p w14:paraId="4EF39EFC" w14:textId="77777777" w:rsidR="00AC6A08" w:rsidRPr="002D629C" w:rsidRDefault="00AC6A08" w:rsidP="008D1BE6">
            <w:p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  <w:p w14:paraId="73271358" w14:textId="77777777" w:rsidR="00AC6A08" w:rsidRPr="002D629C" w:rsidRDefault="00AC6A08" w:rsidP="008D1BE6">
            <w:p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</w:tr>
      <w:tr w:rsidR="008D1BE6" w:rsidRPr="002D629C" w14:paraId="44CB50B5" w14:textId="77777777" w:rsidTr="008D1BE6">
        <w:tc>
          <w:tcPr>
            <w:tcW w:w="1345" w:type="dxa"/>
          </w:tcPr>
          <w:p w14:paraId="1BB83911" w14:textId="77777777" w:rsidR="008D1BE6" w:rsidRPr="002D629C" w:rsidRDefault="00AC6A08" w:rsidP="007D65D1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  <w:r w:rsidRPr="002D629C">
              <w:rPr>
                <w:rFonts w:ascii="Arial" w:hAnsi="Arial" w:cs="Arial"/>
                <w:color w:val="0050FF" w:themeColor="text2"/>
                <w:sz w:val="18"/>
                <w:szCs w:val="18"/>
              </w:rPr>
              <w:t xml:space="preserve">Reinforcement </w:t>
            </w:r>
          </w:p>
          <w:p w14:paraId="43696764" w14:textId="199F9F8A" w:rsidR="00AC6A08" w:rsidRPr="002D629C" w:rsidRDefault="00AC6A08" w:rsidP="007D65D1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  <w:t>to sustain the change</w:t>
            </w:r>
          </w:p>
        </w:tc>
        <w:tc>
          <w:tcPr>
            <w:tcW w:w="3329" w:type="dxa"/>
          </w:tcPr>
          <w:p w14:paraId="3DB03F98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Celebrate short- and long-term successes</w:t>
            </w:r>
          </w:p>
          <w:p w14:paraId="2D848303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Monitor adoption and successes</w:t>
            </w:r>
          </w:p>
          <w:p w14:paraId="4FA2C6EE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Create opportunities for feedback that lead to continuous improvement</w:t>
            </w:r>
          </w:p>
          <w:p w14:paraId="32B6852F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 xml:space="preserve">Effectively associate rewards and consequences to desired behavior or outcomes </w:t>
            </w:r>
          </w:p>
        </w:tc>
        <w:tc>
          <w:tcPr>
            <w:tcW w:w="2338" w:type="dxa"/>
          </w:tcPr>
          <w:p w14:paraId="1F20250F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Establish meaningful rewards and recognition systems for accomplishments</w:t>
            </w:r>
          </w:p>
          <w:p w14:paraId="2F3A60C8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 xml:space="preserve">Reduce unintended negative consequences                                                                                                                   </w:t>
            </w:r>
          </w:p>
          <w:p w14:paraId="6D9F9233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 xml:space="preserve">Perform audits </w:t>
            </w:r>
          </w:p>
          <w:p w14:paraId="1DB89B8D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Communicate success and failure stories</w:t>
            </w:r>
          </w:p>
          <w:p w14:paraId="42F3C88F" w14:textId="77777777" w:rsidR="00AC6A08" w:rsidRPr="002D629C" w:rsidRDefault="00AC6A08" w:rsidP="00D66EC2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1D61F33D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Individual Rewards</w:t>
            </w:r>
          </w:p>
          <w:p w14:paraId="51BD241B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Team Rewards</w:t>
            </w:r>
          </w:p>
          <w:p w14:paraId="601EFB72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Interviews</w:t>
            </w:r>
          </w:p>
          <w:p w14:paraId="1FA123E0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Focus Groups</w:t>
            </w:r>
          </w:p>
          <w:p w14:paraId="03EA0B97" w14:textId="77777777" w:rsidR="00AC6A08" w:rsidRPr="002D629C" w:rsidRDefault="00AC6A08" w:rsidP="008D1BE6">
            <w:pPr>
              <w:pStyle w:val="ListParagraph"/>
              <w:numPr>
                <w:ilvl w:val="0"/>
                <w:numId w:val="3"/>
              </w:numPr>
              <w:ind w:left="279" w:hanging="184"/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  <w:r w:rsidRPr="002D629C"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  <w:t>Surveys</w:t>
            </w:r>
          </w:p>
        </w:tc>
      </w:tr>
    </w:tbl>
    <w:p w14:paraId="7429DC0A" w14:textId="10C89740" w:rsidR="00AC6A08" w:rsidRPr="002D629C" w:rsidRDefault="00AC6A08" w:rsidP="00D66EC2">
      <w:pPr>
        <w:spacing w:before="120"/>
        <w:jc w:val="right"/>
        <w:rPr>
          <w:rFonts w:ascii="Times New Roman" w:hAnsi="Times New Roman" w:cs="Times New Roman"/>
          <w:color w:val="63666A" w:themeColor="text1"/>
        </w:rPr>
      </w:pPr>
      <w:r w:rsidRPr="002D629C">
        <w:rPr>
          <w:rFonts w:ascii="Times New Roman" w:hAnsi="Times New Roman" w:cs="Times New Roman"/>
          <w:color w:val="63666A" w:themeColor="text1"/>
        </w:rPr>
        <w:t>Adapted from A Model for Change in</w:t>
      </w:r>
      <w:bookmarkStart w:id="0" w:name="_GoBack"/>
      <w:bookmarkEnd w:id="0"/>
      <w:r w:rsidRPr="002D629C">
        <w:rPr>
          <w:rFonts w:ascii="Times New Roman" w:hAnsi="Times New Roman" w:cs="Times New Roman"/>
          <w:color w:val="63666A" w:themeColor="text1"/>
        </w:rPr>
        <w:t xml:space="preserve"> Business, Government and Our Communities</w:t>
      </w:r>
    </w:p>
    <w:sectPr w:rsidR="00AC6A08" w:rsidRPr="002D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4D0"/>
    <w:multiLevelType w:val="hybridMultilevel"/>
    <w:tmpl w:val="59E2C122"/>
    <w:lvl w:ilvl="0" w:tplc="DB0257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01A3A"/>
    <w:multiLevelType w:val="hybridMultilevel"/>
    <w:tmpl w:val="8F6CB5AC"/>
    <w:lvl w:ilvl="0" w:tplc="04A0B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1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CC182C"/>
    <w:multiLevelType w:val="hybridMultilevel"/>
    <w:tmpl w:val="0F0A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08"/>
    <w:rsid w:val="00180D53"/>
    <w:rsid w:val="002D629C"/>
    <w:rsid w:val="008D1BE6"/>
    <w:rsid w:val="00910C38"/>
    <w:rsid w:val="00AC6A08"/>
    <w:rsid w:val="00D66EC2"/>
    <w:rsid w:val="5C38A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3FC5"/>
  <w15:chartTrackingRefBased/>
  <w15:docId w15:val="{6ACE0A59-5A59-4E1A-A093-462C276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A08"/>
    <w:pPr>
      <w:ind w:left="720"/>
      <w:contextualSpacing/>
    </w:pPr>
  </w:style>
  <w:style w:type="table" w:styleId="TableGrid">
    <w:name w:val="Table Grid"/>
    <w:basedOn w:val="TableNormal"/>
    <w:uiPriority w:val="59"/>
    <w:rsid w:val="00AC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A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A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pfli Theme">
  <a:themeElements>
    <a:clrScheme name="Wipfli Colors">
      <a:dk1>
        <a:srgbClr val="63666A"/>
      </a:dk1>
      <a:lt1>
        <a:sysClr val="window" lastClr="FFFFFF"/>
      </a:lt1>
      <a:dk2>
        <a:srgbClr val="0050FF"/>
      </a:dk2>
      <a:lt2>
        <a:srgbClr val="D0D3D4"/>
      </a:lt2>
      <a:accent1>
        <a:srgbClr val="8B84D7"/>
      </a:accent1>
      <a:accent2>
        <a:srgbClr val="ABCAE9"/>
      </a:accent2>
      <a:accent3>
        <a:srgbClr val="1D8296"/>
      </a:accent3>
      <a:accent4>
        <a:srgbClr val="676D99"/>
      </a:accent4>
      <a:accent5>
        <a:srgbClr val="41B6E6"/>
      </a:accent5>
      <a:accent6>
        <a:srgbClr val="00683B"/>
      </a:accent6>
      <a:hlink>
        <a:srgbClr val="0050FF"/>
      </a:hlink>
      <a:folHlink>
        <a:srgbClr val="D0D3D4"/>
      </a:folHlink>
    </a:clrScheme>
    <a:fontScheme name="Wipfli Fonts">
      <a:majorFont>
        <a:latin typeface="Montserrat Regular"/>
        <a:ea typeface=""/>
        <a:cs typeface=""/>
      </a:majorFont>
      <a:minorFont>
        <a:latin typeface="Montserra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800"/>
          </a:lnSpc>
          <a:spcBef>
            <a:spcPts val="1440"/>
          </a:spcBef>
          <a:defRPr sz="2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Wipfli Theme" id="{A3B7238A-1301-F547-B6A8-16A925B3D4D6}" vid="{40F30BEC-CF33-3F42-9442-63DEEA5F7C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Schmedding, Teresa</dc:creator>
  <cp:keywords/>
  <dc:description/>
  <cp:lastModifiedBy>Schmedding, Teresa</cp:lastModifiedBy>
  <cp:revision>3</cp:revision>
  <dcterms:created xsi:type="dcterms:W3CDTF">2020-03-23T23:16:00Z</dcterms:created>
  <dcterms:modified xsi:type="dcterms:W3CDTF">2020-03-24T02:30:00Z</dcterms:modified>
</cp:coreProperties>
</file>