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5B40A" w14:textId="7E8EE611" w:rsidR="00AC6A08" w:rsidRPr="008744FC" w:rsidRDefault="157543D6" w:rsidP="006D00E3">
      <w:pPr>
        <w:rPr>
          <w:rFonts w:ascii="Arial" w:hAnsi="Arial" w:cs="Arial"/>
          <w:color w:val="0050FF" w:themeColor="text2"/>
          <w:sz w:val="36"/>
          <w:szCs w:val="36"/>
        </w:rPr>
      </w:pPr>
      <w:r w:rsidRPr="157543D6">
        <w:rPr>
          <w:rFonts w:ascii="Arial" w:hAnsi="Arial" w:cs="Arial"/>
          <w:color w:val="0050FF" w:themeColor="text2"/>
          <w:sz w:val="36"/>
          <w:szCs w:val="36"/>
        </w:rPr>
        <w:t>Change Agents roles, responsibilities and tactics recorder</w:t>
      </w:r>
    </w:p>
    <w:p w14:paraId="6668989B" w14:textId="4590BD5F" w:rsidR="00AC6A08" w:rsidRPr="008744FC" w:rsidRDefault="00AC6A08" w:rsidP="00AC6A08">
      <w:pPr>
        <w:rPr>
          <w:rFonts w:ascii="Times New Roman" w:hAnsi="Times New Roman" w:cs="Times New Roman"/>
          <w:color w:val="63666A" w:themeColor="text1"/>
        </w:rPr>
      </w:pPr>
      <w:r w:rsidRPr="008744FC">
        <w:rPr>
          <w:rFonts w:ascii="Times New Roman" w:hAnsi="Times New Roman" w:cs="Times New Roman"/>
          <w:color w:val="63666A" w:themeColor="text1"/>
        </w:rPr>
        <w:t xml:space="preserve">Use the table below to help empower your Change Agents to effectively promote and implement </w:t>
      </w:r>
      <w:proofErr w:type="gramStart"/>
      <w:r w:rsidRPr="008744FC">
        <w:rPr>
          <w:rFonts w:ascii="Times New Roman" w:hAnsi="Times New Roman" w:cs="Times New Roman"/>
          <w:color w:val="63666A" w:themeColor="text1"/>
        </w:rPr>
        <w:t>change, and</w:t>
      </w:r>
      <w:proofErr w:type="gramEnd"/>
      <w:r w:rsidRPr="008744FC">
        <w:rPr>
          <w:rFonts w:ascii="Times New Roman" w:hAnsi="Times New Roman" w:cs="Times New Roman"/>
          <w:color w:val="63666A" w:themeColor="text1"/>
        </w:rPr>
        <w:t xml:space="preserve"> communicate with the Change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925"/>
      </w:tblGrid>
      <w:tr w:rsidR="006D00E3" w:rsidRPr="008744FC" w14:paraId="7950D646" w14:textId="77777777" w:rsidTr="00C152A2">
        <w:tc>
          <w:tcPr>
            <w:tcW w:w="2605" w:type="dxa"/>
            <w:vMerge w:val="restart"/>
            <w:shd w:val="clear" w:color="auto" w:fill="0050FF" w:themeFill="text2"/>
          </w:tcPr>
          <w:p w14:paraId="562F1D9B" w14:textId="77777777" w:rsidR="006D00E3" w:rsidRPr="008744FC" w:rsidRDefault="006D00E3" w:rsidP="006D00E3">
            <w:pPr>
              <w:spacing w:after="120"/>
              <w:rPr>
                <w:rFonts w:ascii="Arial" w:hAnsi="Arial" w:cs="Arial"/>
                <w:color w:val="FFFFFF" w:themeColor="background1"/>
                <w:sz w:val="28"/>
                <w:szCs w:val="28"/>
              </w:rPr>
            </w:pPr>
            <w:r w:rsidRPr="008744FC">
              <w:rPr>
                <w:rFonts w:ascii="Arial" w:hAnsi="Arial" w:cs="Arial"/>
                <w:color w:val="FFFFFF" w:themeColor="background1"/>
                <w:sz w:val="28"/>
                <w:szCs w:val="28"/>
              </w:rPr>
              <w:t>Communicator</w:t>
            </w:r>
          </w:p>
          <w:p w14:paraId="0A42EEB7" w14:textId="777924C1" w:rsidR="006D00E3" w:rsidRPr="008744FC" w:rsidRDefault="006D00E3" w:rsidP="006D00E3">
            <w:pPr>
              <w:rPr>
                <w:rFonts w:ascii="Arial" w:hAnsi="Arial" w:cs="Arial"/>
                <w:color w:val="FFFFFF" w:themeColor="background1"/>
                <w:sz w:val="20"/>
                <w:szCs w:val="20"/>
              </w:rPr>
            </w:pPr>
            <w:r w:rsidRPr="008744FC">
              <w:rPr>
                <w:rFonts w:ascii="Arial" w:hAnsi="Arial" w:cs="Arial"/>
                <w:color w:val="FFFFFF" w:themeColor="background1"/>
                <w:sz w:val="20"/>
                <w:szCs w:val="20"/>
              </w:rPr>
              <w:t>Communicates with direct reports/peers about the change</w:t>
            </w:r>
          </w:p>
        </w:tc>
        <w:tc>
          <w:tcPr>
            <w:tcW w:w="7925" w:type="dxa"/>
            <w:shd w:val="clear" w:color="auto" w:fill="F2F2F2" w:themeFill="background1" w:themeFillShade="F2"/>
          </w:tcPr>
          <w:p w14:paraId="73F69857" w14:textId="2F136EF8" w:rsidR="006D00E3" w:rsidRPr="008744FC" w:rsidRDefault="006D00E3" w:rsidP="006D00E3">
            <w:pPr>
              <w:rPr>
                <w:rFonts w:ascii="Arial" w:hAnsi="Arial" w:cs="Arial"/>
                <w:color w:val="0050FF" w:themeColor="text2"/>
                <w:sz w:val="20"/>
                <w:szCs w:val="20"/>
              </w:rPr>
            </w:pPr>
            <w:r w:rsidRPr="008744FC">
              <w:rPr>
                <w:rFonts w:ascii="Arial" w:hAnsi="Arial" w:cs="Arial"/>
                <w:color w:val="0050FF" w:themeColor="text2"/>
                <w:sz w:val="20"/>
                <w:szCs w:val="20"/>
              </w:rPr>
              <w:t>Responsibilities</w:t>
            </w:r>
          </w:p>
          <w:p w14:paraId="69EC8F01" w14:textId="673EEC28" w:rsidR="006D00E3" w:rsidRPr="008744FC" w:rsidRDefault="006D00E3" w:rsidP="006D00E3">
            <w:pPr>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Regularly and consistently answer the following employee questions:</w:t>
            </w:r>
          </w:p>
          <w:p w14:paraId="3336F71A" w14:textId="77777777" w:rsidR="006D00E3" w:rsidRPr="008744FC" w:rsidRDefault="006D00E3" w:rsidP="0097659D">
            <w:pPr>
              <w:pStyle w:val="ListParagraph"/>
              <w:numPr>
                <w:ilvl w:val="0"/>
                <w:numId w:val="4"/>
              </w:numPr>
              <w:ind w:left="253" w:hanging="197"/>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What does this change mean to me?</w:t>
            </w:r>
          </w:p>
          <w:p w14:paraId="5EB25CD6" w14:textId="77777777" w:rsidR="006D00E3" w:rsidRPr="008744FC" w:rsidRDefault="006D00E3" w:rsidP="0097659D">
            <w:pPr>
              <w:pStyle w:val="ListParagraph"/>
              <w:numPr>
                <w:ilvl w:val="0"/>
                <w:numId w:val="4"/>
              </w:numPr>
              <w:ind w:left="253" w:hanging="197"/>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What’s in it for me?</w:t>
            </w:r>
          </w:p>
          <w:p w14:paraId="7BA06703" w14:textId="77777777" w:rsidR="006D00E3" w:rsidRPr="008744FC" w:rsidRDefault="006D00E3" w:rsidP="0097659D">
            <w:pPr>
              <w:pStyle w:val="ListParagraph"/>
              <w:numPr>
                <w:ilvl w:val="0"/>
                <w:numId w:val="4"/>
              </w:numPr>
              <w:ind w:left="253" w:hanging="197"/>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Why should I get on board?</w:t>
            </w:r>
          </w:p>
          <w:p w14:paraId="468ADD68" w14:textId="77777777" w:rsidR="0097659D" w:rsidRPr="008744FC" w:rsidRDefault="006D00E3" w:rsidP="0097659D">
            <w:pPr>
              <w:pStyle w:val="ListParagraph"/>
              <w:numPr>
                <w:ilvl w:val="0"/>
                <w:numId w:val="4"/>
              </w:numPr>
              <w:ind w:left="253" w:hanging="197"/>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Why are we doing this?</w:t>
            </w:r>
          </w:p>
          <w:p w14:paraId="44CCA132" w14:textId="776DB377" w:rsidR="0097659D" w:rsidRPr="008744FC" w:rsidRDefault="0097659D" w:rsidP="0097659D">
            <w:pPr>
              <w:rPr>
                <w:rFonts w:ascii="Times New Roman" w:hAnsi="Times New Roman" w:cs="Times New Roman"/>
                <w:color w:val="63666A" w:themeColor="text1"/>
                <w:sz w:val="18"/>
                <w:szCs w:val="18"/>
              </w:rPr>
            </w:pPr>
          </w:p>
        </w:tc>
      </w:tr>
      <w:tr w:rsidR="006D00E3" w:rsidRPr="008744FC" w14:paraId="2F115FF0" w14:textId="77777777" w:rsidTr="00C152A2">
        <w:tc>
          <w:tcPr>
            <w:tcW w:w="2605" w:type="dxa"/>
            <w:vMerge/>
          </w:tcPr>
          <w:p w14:paraId="2D3936D7" w14:textId="77777777" w:rsidR="006D00E3" w:rsidRPr="008744FC" w:rsidRDefault="006D00E3" w:rsidP="00AC6A08">
            <w:pPr>
              <w:rPr>
                <w:rFonts w:ascii="Arial" w:hAnsi="Arial" w:cs="Arial"/>
                <w:color w:val="FFFFFF" w:themeColor="background1"/>
                <w:sz w:val="28"/>
                <w:szCs w:val="28"/>
              </w:rPr>
            </w:pPr>
          </w:p>
        </w:tc>
        <w:tc>
          <w:tcPr>
            <w:tcW w:w="7925" w:type="dxa"/>
            <w:shd w:val="clear" w:color="auto" w:fill="F2F2F2" w:themeFill="background1" w:themeFillShade="F2"/>
          </w:tcPr>
          <w:p w14:paraId="741139EA" w14:textId="3718B160" w:rsidR="0097659D" w:rsidRPr="008744FC" w:rsidRDefault="0097659D" w:rsidP="0097659D">
            <w:pPr>
              <w:rPr>
                <w:rFonts w:ascii="Arial" w:hAnsi="Arial" w:cs="Arial"/>
                <w:color w:val="0050FF" w:themeColor="text2"/>
                <w:sz w:val="20"/>
                <w:szCs w:val="20"/>
              </w:rPr>
            </w:pPr>
            <w:r w:rsidRPr="008744FC">
              <w:rPr>
                <w:rFonts w:ascii="Arial" w:hAnsi="Arial" w:cs="Arial"/>
                <w:color w:val="0050FF" w:themeColor="text2"/>
                <w:sz w:val="20"/>
                <w:szCs w:val="20"/>
              </w:rPr>
              <w:t>Tactics</w:t>
            </w:r>
          </w:p>
          <w:p w14:paraId="06F98FE1" w14:textId="38B10B8E" w:rsidR="006D00E3" w:rsidRPr="008744FC" w:rsidRDefault="006D00E3" w:rsidP="00AC6A08">
            <w:pPr>
              <w:rPr>
                <w:rFonts w:ascii="Times New Roman" w:hAnsi="Times New Roman" w:cs="Times New Roman"/>
                <w:color w:val="63666A" w:themeColor="text1"/>
              </w:rPr>
            </w:pPr>
            <w:r w:rsidRPr="008744FC">
              <w:rPr>
                <w:rFonts w:ascii="Times New Roman" w:hAnsi="Times New Roman" w:cs="Times New Roman"/>
                <w:color w:val="63666A" w:themeColor="text1"/>
                <w:sz w:val="18"/>
                <w:szCs w:val="18"/>
              </w:rPr>
              <w:t>If you are unsure of answers to these questions or additional questions arise, reach out to the Change Team for guidance.</w:t>
            </w:r>
          </w:p>
        </w:tc>
      </w:tr>
      <w:tr w:rsidR="006D00E3" w:rsidRPr="008744FC" w14:paraId="5A4F3F56" w14:textId="77777777" w:rsidTr="00C152A2">
        <w:trPr>
          <w:trHeight w:val="116"/>
        </w:trPr>
        <w:tc>
          <w:tcPr>
            <w:tcW w:w="2605" w:type="dxa"/>
            <w:shd w:val="clear" w:color="auto" w:fill="auto"/>
          </w:tcPr>
          <w:p w14:paraId="489A52AD" w14:textId="77777777" w:rsidR="006D00E3" w:rsidRPr="008744FC" w:rsidRDefault="006D00E3" w:rsidP="00AC6A08">
            <w:pPr>
              <w:rPr>
                <w:rFonts w:ascii="Arial" w:hAnsi="Arial" w:cs="Arial"/>
                <w:color w:val="FFFFFF" w:themeColor="background1"/>
                <w:sz w:val="13"/>
                <w:szCs w:val="13"/>
              </w:rPr>
            </w:pPr>
          </w:p>
        </w:tc>
        <w:tc>
          <w:tcPr>
            <w:tcW w:w="7925" w:type="dxa"/>
            <w:shd w:val="clear" w:color="auto" w:fill="auto"/>
          </w:tcPr>
          <w:p w14:paraId="6362A48A" w14:textId="77777777" w:rsidR="006D00E3" w:rsidRPr="008744FC" w:rsidRDefault="006D00E3" w:rsidP="00AC6A08">
            <w:pPr>
              <w:rPr>
                <w:rFonts w:ascii="Times New Roman" w:hAnsi="Times New Roman" w:cs="Times New Roman"/>
                <w:color w:val="63666A" w:themeColor="text1"/>
                <w:sz w:val="13"/>
                <w:szCs w:val="13"/>
              </w:rPr>
            </w:pPr>
          </w:p>
        </w:tc>
      </w:tr>
      <w:tr w:rsidR="006D00E3" w:rsidRPr="008744FC" w14:paraId="36822F2C" w14:textId="77777777" w:rsidTr="00C152A2">
        <w:tc>
          <w:tcPr>
            <w:tcW w:w="2605" w:type="dxa"/>
            <w:vMerge w:val="restart"/>
            <w:shd w:val="clear" w:color="auto" w:fill="0050FF" w:themeFill="text2"/>
          </w:tcPr>
          <w:p w14:paraId="4FD64E69" w14:textId="77777777" w:rsidR="006D00E3" w:rsidRPr="008744FC" w:rsidRDefault="006D00E3" w:rsidP="006D00E3">
            <w:pPr>
              <w:spacing w:after="120"/>
              <w:rPr>
                <w:rFonts w:ascii="Arial" w:hAnsi="Arial" w:cs="Arial"/>
                <w:color w:val="FFFFFF" w:themeColor="background1"/>
                <w:sz w:val="28"/>
                <w:szCs w:val="28"/>
              </w:rPr>
            </w:pPr>
            <w:r w:rsidRPr="008744FC">
              <w:rPr>
                <w:rFonts w:ascii="Arial" w:hAnsi="Arial" w:cs="Arial"/>
                <w:color w:val="FFFFFF" w:themeColor="background1"/>
                <w:sz w:val="28"/>
                <w:szCs w:val="28"/>
              </w:rPr>
              <w:t>Advocate</w:t>
            </w:r>
          </w:p>
          <w:p w14:paraId="2D3DB417" w14:textId="7D83FC1E" w:rsidR="006D00E3" w:rsidRPr="008744FC" w:rsidRDefault="006D00E3" w:rsidP="006D00E3">
            <w:pPr>
              <w:rPr>
                <w:rFonts w:ascii="Arial" w:hAnsi="Arial" w:cs="Arial"/>
                <w:color w:val="FFFFFF" w:themeColor="background1"/>
                <w:sz w:val="20"/>
                <w:szCs w:val="20"/>
              </w:rPr>
            </w:pPr>
            <w:r w:rsidRPr="008744FC">
              <w:rPr>
                <w:rFonts w:ascii="Arial" w:hAnsi="Arial" w:cs="Arial"/>
                <w:color w:val="FFFFFF" w:themeColor="background1"/>
                <w:sz w:val="20"/>
                <w:szCs w:val="20"/>
              </w:rPr>
              <w:t>Demonstrates support for the change</w:t>
            </w:r>
          </w:p>
        </w:tc>
        <w:tc>
          <w:tcPr>
            <w:tcW w:w="7925" w:type="dxa"/>
            <w:shd w:val="clear" w:color="auto" w:fill="F2F2F2" w:themeFill="background1" w:themeFillShade="F2"/>
          </w:tcPr>
          <w:p w14:paraId="33FB1E4E" w14:textId="77777777" w:rsidR="006D00E3" w:rsidRPr="008744FC" w:rsidRDefault="006D00E3" w:rsidP="006D00E3">
            <w:pPr>
              <w:rPr>
                <w:rFonts w:ascii="Arial" w:hAnsi="Arial" w:cs="Arial"/>
                <w:color w:val="0050FF" w:themeColor="text2"/>
                <w:sz w:val="20"/>
                <w:szCs w:val="20"/>
              </w:rPr>
            </w:pPr>
            <w:r w:rsidRPr="008744FC">
              <w:rPr>
                <w:rFonts w:ascii="Arial" w:hAnsi="Arial" w:cs="Arial"/>
                <w:color w:val="0050FF" w:themeColor="text2"/>
                <w:sz w:val="20"/>
                <w:szCs w:val="20"/>
              </w:rPr>
              <w:t>Responsibilities</w:t>
            </w:r>
          </w:p>
          <w:p w14:paraId="4E6D5699" w14:textId="77777777" w:rsidR="0097659D" w:rsidRPr="008744FC" w:rsidRDefault="006D00E3" w:rsidP="00AC6A08">
            <w:pPr>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Employees look to their direct supervisor and peers for direction on how to respond to a change. Show support and positivity toward the change process and outcomes – others are more likely to get on board with a change when you do.</w:t>
            </w:r>
          </w:p>
          <w:p w14:paraId="333294C6" w14:textId="306283F7" w:rsidR="0097659D" w:rsidRPr="008744FC" w:rsidRDefault="0097659D" w:rsidP="00AC6A08">
            <w:pPr>
              <w:rPr>
                <w:rFonts w:ascii="Times New Roman" w:hAnsi="Times New Roman" w:cs="Times New Roman"/>
                <w:color w:val="63666A" w:themeColor="text1"/>
                <w:sz w:val="18"/>
                <w:szCs w:val="18"/>
              </w:rPr>
            </w:pPr>
          </w:p>
        </w:tc>
      </w:tr>
      <w:tr w:rsidR="006D00E3" w:rsidRPr="008744FC" w14:paraId="26E65C78" w14:textId="77777777" w:rsidTr="00C152A2">
        <w:tc>
          <w:tcPr>
            <w:tcW w:w="2605" w:type="dxa"/>
            <w:vMerge/>
          </w:tcPr>
          <w:p w14:paraId="3B586A26" w14:textId="77777777" w:rsidR="006D00E3" w:rsidRPr="008744FC" w:rsidRDefault="006D00E3" w:rsidP="00AC6A08">
            <w:pPr>
              <w:rPr>
                <w:rFonts w:ascii="Arial" w:hAnsi="Arial" w:cs="Arial"/>
                <w:color w:val="FFFFFF" w:themeColor="background1"/>
                <w:sz w:val="28"/>
                <w:szCs w:val="28"/>
              </w:rPr>
            </w:pPr>
          </w:p>
        </w:tc>
        <w:tc>
          <w:tcPr>
            <w:tcW w:w="7925" w:type="dxa"/>
            <w:shd w:val="clear" w:color="auto" w:fill="F2F2F2" w:themeFill="background1" w:themeFillShade="F2"/>
          </w:tcPr>
          <w:p w14:paraId="09B4B249" w14:textId="77777777" w:rsidR="0097659D" w:rsidRPr="008744FC" w:rsidRDefault="0097659D" w:rsidP="0097659D">
            <w:pPr>
              <w:rPr>
                <w:rFonts w:ascii="Arial" w:hAnsi="Arial" w:cs="Arial"/>
                <w:color w:val="0050FF" w:themeColor="text2"/>
                <w:sz w:val="20"/>
                <w:szCs w:val="20"/>
              </w:rPr>
            </w:pPr>
            <w:r w:rsidRPr="008744FC">
              <w:rPr>
                <w:rFonts w:ascii="Arial" w:hAnsi="Arial" w:cs="Arial"/>
                <w:color w:val="0050FF" w:themeColor="text2"/>
                <w:sz w:val="20"/>
                <w:szCs w:val="20"/>
              </w:rPr>
              <w:t>Tactics</w:t>
            </w:r>
          </w:p>
          <w:p w14:paraId="49ED125D" w14:textId="3C932A3E" w:rsidR="006D00E3" w:rsidRPr="008744FC" w:rsidRDefault="006D00E3" w:rsidP="00AC6A08">
            <w:pPr>
              <w:rPr>
                <w:rFonts w:ascii="Times New Roman" w:hAnsi="Times New Roman" w:cs="Times New Roman"/>
                <w:color w:val="63666A" w:themeColor="text1"/>
              </w:rPr>
            </w:pPr>
            <w:r w:rsidRPr="008744FC">
              <w:rPr>
                <w:rFonts w:ascii="Times New Roman" w:hAnsi="Times New Roman" w:cs="Times New Roman"/>
                <w:color w:val="63666A" w:themeColor="text1"/>
                <w:sz w:val="18"/>
                <w:szCs w:val="18"/>
              </w:rPr>
              <w:t>Evaluate you own level of support for the change. If you find you are not fully on board, reach out to your direct supervisor or the Change Team for support.</w:t>
            </w:r>
          </w:p>
        </w:tc>
      </w:tr>
      <w:tr w:rsidR="006D00E3" w:rsidRPr="008744FC" w14:paraId="7C0ED5B9" w14:textId="77777777" w:rsidTr="00C152A2">
        <w:tc>
          <w:tcPr>
            <w:tcW w:w="2605" w:type="dxa"/>
            <w:shd w:val="clear" w:color="auto" w:fill="auto"/>
          </w:tcPr>
          <w:p w14:paraId="6E762389" w14:textId="77777777" w:rsidR="006D00E3" w:rsidRPr="008744FC" w:rsidRDefault="006D00E3" w:rsidP="00AC6A08">
            <w:pPr>
              <w:rPr>
                <w:rFonts w:ascii="Arial" w:hAnsi="Arial" w:cs="Arial"/>
                <w:color w:val="FFFFFF" w:themeColor="background1"/>
                <w:sz w:val="13"/>
                <w:szCs w:val="13"/>
              </w:rPr>
            </w:pPr>
          </w:p>
        </w:tc>
        <w:tc>
          <w:tcPr>
            <w:tcW w:w="7925" w:type="dxa"/>
            <w:shd w:val="clear" w:color="auto" w:fill="auto"/>
          </w:tcPr>
          <w:p w14:paraId="453E2499" w14:textId="77777777" w:rsidR="006D00E3" w:rsidRPr="008744FC" w:rsidRDefault="006D00E3" w:rsidP="00AC6A08">
            <w:pPr>
              <w:rPr>
                <w:rFonts w:ascii="Times New Roman" w:hAnsi="Times New Roman" w:cs="Times New Roman"/>
                <w:color w:val="63666A" w:themeColor="text1"/>
                <w:sz w:val="13"/>
                <w:szCs w:val="13"/>
              </w:rPr>
            </w:pPr>
          </w:p>
        </w:tc>
      </w:tr>
      <w:tr w:rsidR="006D00E3" w:rsidRPr="008744FC" w14:paraId="4D45D50A" w14:textId="77777777" w:rsidTr="00C152A2">
        <w:tc>
          <w:tcPr>
            <w:tcW w:w="2605" w:type="dxa"/>
            <w:vMerge w:val="restart"/>
            <w:shd w:val="clear" w:color="auto" w:fill="0050FF" w:themeFill="text2"/>
          </w:tcPr>
          <w:p w14:paraId="4C559F04" w14:textId="77777777" w:rsidR="006D00E3" w:rsidRPr="008744FC" w:rsidRDefault="006D00E3" w:rsidP="006D00E3">
            <w:pPr>
              <w:spacing w:after="120"/>
              <w:rPr>
                <w:rFonts w:ascii="Arial" w:hAnsi="Arial" w:cs="Arial"/>
                <w:color w:val="FFFFFF" w:themeColor="background1"/>
                <w:sz w:val="28"/>
                <w:szCs w:val="28"/>
              </w:rPr>
            </w:pPr>
            <w:r w:rsidRPr="008744FC">
              <w:rPr>
                <w:rFonts w:ascii="Arial" w:hAnsi="Arial" w:cs="Arial"/>
                <w:color w:val="FFFFFF" w:themeColor="background1"/>
                <w:sz w:val="28"/>
                <w:szCs w:val="28"/>
              </w:rPr>
              <w:t>Coach</w:t>
            </w:r>
          </w:p>
          <w:p w14:paraId="602A19BC" w14:textId="08BF4F8B" w:rsidR="006D00E3" w:rsidRPr="008744FC" w:rsidRDefault="006D00E3" w:rsidP="006D00E3">
            <w:pPr>
              <w:rPr>
                <w:rFonts w:ascii="Arial" w:hAnsi="Arial" w:cs="Arial"/>
                <w:color w:val="FFFFFF" w:themeColor="background1"/>
                <w:sz w:val="20"/>
                <w:szCs w:val="20"/>
              </w:rPr>
            </w:pPr>
            <w:r w:rsidRPr="008744FC">
              <w:rPr>
                <w:rFonts w:ascii="Arial" w:hAnsi="Arial" w:cs="Arial"/>
                <w:color w:val="FFFFFF" w:themeColor="background1"/>
                <w:sz w:val="20"/>
                <w:szCs w:val="20"/>
              </w:rPr>
              <w:t>Coaches employees through the change process</w:t>
            </w:r>
          </w:p>
        </w:tc>
        <w:tc>
          <w:tcPr>
            <w:tcW w:w="7925" w:type="dxa"/>
            <w:shd w:val="clear" w:color="auto" w:fill="F2F2F2" w:themeFill="background1" w:themeFillShade="F2"/>
          </w:tcPr>
          <w:p w14:paraId="43C65BB8" w14:textId="77777777" w:rsidR="006D00E3" w:rsidRPr="008744FC" w:rsidRDefault="006D00E3" w:rsidP="006D00E3">
            <w:pPr>
              <w:rPr>
                <w:rFonts w:ascii="Arial" w:hAnsi="Arial" w:cs="Arial"/>
                <w:color w:val="0050FF" w:themeColor="text2"/>
                <w:sz w:val="20"/>
                <w:szCs w:val="20"/>
              </w:rPr>
            </w:pPr>
            <w:r w:rsidRPr="008744FC">
              <w:rPr>
                <w:rFonts w:ascii="Arial" w:hAnsi="Arial" w:cs="Arial"/>
                <w:color w:val="0050FF" w:themeColor="text2"/>
                <w:sz w:val="20"/>
                <w:szCs w:val="20"/>
              </w:rPr>
              <w:t>Responsibilities</w:t>
            </w:r>
          </w:p>
          <w:p w14:paraId="72659A23" w14:textId="77777777" w:rsidR="0097659D" w:rsidRPr="008744FC" w:rsidRDefault="157543D6" w:rsidP="00AC6A08">
            <w:pPr>
              <w:rPr>
                <w:rFonts w:ascii="Times New Roman" w:hAnsi="Times New Roman" w:cs="Times New Roman"/>
                <w:color w:val="63666A" w:themeColor="text1"/>
                <w:sz w:val="18"/>
                <w:szCs w:val="18"/>
              </w:rPr>
            </w:pPr>
            <w:r w:rsidRPr="157543D6">
              <w:rPr>
                <w:rFonts w:ascii="Times New Roman" w:hAnsi="Times New Roman" w:cs="Times New Roman"/>
                <w:color w:val="63666A" w:themeColor="text1"/>
                <w:sz w:val="18"/>
                <w:szCs w:val="18"/>
              </w:rPr>
              <w:t>Coaching involves support employees through their experience when change impacts their day-to-day work. Familiarize yourself ADKAR, which describes the 5 stages of change, so that you are better able to recognize and address where employees may be struggling.</w:t>
            </w:r>
          </w:p>
          <w:p w14:paraId="4A2A2121" w14:textId="5AA7CCB8" w:rsidR="0097659D" w:rsidRPr="008744FC" w:rsidRDefault="0097659D" w:rsidP="00AC6A08">
            <w:pPr>
              <w:rPr>
                <w:rFonts w:ascii="Times New Roman" w:hAnsi="Times New Roman" w:cs="Times New Roman"/>
                <w:color w:val="63666A" w:themeColor="text1"/>
                <w:sz w:val="18"/>
                <w:szCs w:val="18"/>
              </w:rPr>
            </w:pPr>
          </w:p>
        </w:tc>
      </w:tr>
      <w:tr w:rsidR="006D00E3" w:rsidRPr="008744FC" w14:paraId="6DC2D8CA" w14:textId="77777777" w:rsidTr="00C152A2">
        <w:tc>
          <w:tcPr>
            <w:tcW w:w="2605" w:type="dxa"/>
            <w:vMerge/>
          </w:tcPr>
          <w:p w14:paraId="0B0AC99C" w14:textId="77777777" w:rsidR="006D00E3" w:rsidRPr="008744FC" w:rsidRDefault="006D00E3" w:rsidP="00AC6A08">
            <w:pPr>
              <w:rPr>
                <w:rFonts w:ascii="Arial" w:hAnsi="Arial" w:cs="Arial"/>
                <w:color w:val="FFFFFF" w:themeColor="background1"/>
                <w:sz w:val="28"/>
                <w:szCs w:val="28"/>
              </w:rPr>
            </w:pPr>
          </w:p>
        </w:tc>
        <w:tc>
          <w:tcPr>
            <w:tcW w:w="7925" w:type="dxa"/>
            <w:shd w:val="clear" w:color="auto" w:fill="F2F2F2" w:themeFill="background1" w:themeFillShade="F2"/>
          </w:tcPr>
          <w:p w14:paraId="74286359" w14:textId="77777777" w:rsidR="0097659D" w:rsidRPr="008744FC" w:rsidRDefault="0097659D" w:rsidP="0097659D">
            <w:pPr>
              <w:rPr>
                <w:rFonts w:ascii="Arial" w:hAnsi="Arial" w:cs="Arial"/>
                <w:color w:val="0050FF" w:themeColor="text2"/>
                <w:sz w:val="20"/>
                <w:szCs w:val="20"/>
              </w:rPr>
            </w:pPr>
            <w:r w:rsidRPr="008744FC">
              <w:rPr>
                <w:rFonts w:ascii="Arial" w:hAnsi="Arial" w:cs="Arial"/>
                <w:color w:val="0050FF" w:themeColor="text2"/>
                <w:sz w:val="20"/>
                <w:szCs w:val="20"/>
              </w:rPr>
              <w:t>Tactics</w:t>
            </w:r>
          </w:p>
          <w:p w14:paraId="025C7678" w14:textId="77777777" w:rsidR="006D00E3" w:rsidRPr="008744FC" w:rsidRDefault="006D00E3" w:rsidP="006D00E3">
            <w:pPr>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 xml:space="preserve">Frame support using ADKAR approach: </w:t>
            </w:r>
          </w:p>
          <w:p w14:paraId="30398F78" w14:textId="77777777" w:rsidR="006D00E3" w:rsidRPr="008744FC" w:rsidRDefault="006D00E3" w:rsidP="006D00E3">
            <w:pPr>
              <w:rPr>
                <w:rFonts w:ascii="Times New Roman" w:hAnsi="Times New Roman" w:cs="Times New Roman"/>
                <w:color w:val="63666A" w:themeColor="text1"/>
                <w:sz w:val="18"/>
                <w:szCs w:val="18"/>
              </w:rPr>
            </w:pPr>
            <w:r w:rsidRPr="008744FC">
              <w:rPr>
                <w:rFonts w:ascii="Times New Roman" w:hAnsi="Times New Roman" w:cs="Times New Roman"/>
                <w:b/>
                <w:bCs/>
                <w:color w:val="0050FF" w:themeColor="text2"/>
                <w:sz w:val="20"/>
                <w:szCs w:val="20"/>
              </w:rPr>
              <w:t>A</w:t>
            </w:r>
            <w:r w:rsidRPr="008744FC">
              <w:rPr>
                <w:rFonts w:ascii="Times New Roman" w:hAnsi="Times New Roman" w:cs="Times New Roman"/>
                <w:color w:val="63666A" w:themeColor="text1"/>
                <w:sz w:val="18"/>
                <w:szCs w:val="18"/>
              </w:rPr>
              <w:t>wareness of the need for change</w:t>
            </w:r>
          </w:p>
          <w:p w14:paraId="2B41C773" w14:textId="77777777" w:rsidR="006D00E3" w:rsidRPr="008744FC" w:rsidRDefault="006D00E3" w:rsidP="006D00E3">
            <w:pPr>
              <w:rPr>
                <w:rFonts w:ascii="Times New Roman" w:hAnsi="Times New Roman" w:cs="Times New Roman"/>
                <w:color w:val="63666A" w:themeColor="text1"/>
                <w:sz w:val="10"/>
                <w:szCs w:val="10"/>
              </w:rPr>
            </w:pPr>
          </w:p>
          <w:p w14:paraId="158D4AB4" w14:textId="77777777" w:rsidR="006D00E3" w:rsidRPr="008744FC" w:rsidRDefault="006D00E3" w:rsidP="006D00E3">
            <w:pPr>
              <w:rPr>
                <w:rFonts w:ascii="Times New Roman" w:hAnsi="Times New Roman" w:cs="Times New Roman"/>
                <w:color w:val="63666A" w:themeColor="text1"/>
                <w:sz w:val="18"/>
                <w:szCs w:val="18"/>
              </w:rPr>
            </w:pPr>
            <w:r w:rsidRPr="008744FC">
              <w:rPr>
                <w:rFonts w:ascii="Times New Roman" w:hAnsi="Times New Roman" w:cs="Times New Roman"/>
                <w:b/>
                <w:bCs/>
                <w:color w:val="0050FF" w:themeColor="text2"/>
                <w:sz w:val="20"/>
                <w:szCs w:val="20"/>
              </w:rPr>
              <w:t>D</w:t>
            </w:r>
            <w:r w:rsidRPr="008744FC">
              <w:rPr>
                <w:rFonts w:ascii="Times New Roman" w:hAnsi="Times New Roman" w:cs="Times New Roman"/>
                <w:color w:val="63666A" w:themeColor="text1"/>
                <w:sz w:val="18"/>
                <w:szCs w:val="18"/>
              </w:rPr>
              <w:t>esire to participate in and the change</w:t>
            </w:r>
          </w:p>
          <w:p w14:paraId="687794E5" w14:textId="77777777" w:rsidR="006D00E3" w:rsidRPr="008744FC" w:rsidRDefault="006D00E3" w:rsidP="006D00E3">
            <w:pPr>
              <w:rPr>
                <w:rFonts w:ascii="Times New Roman" w:hAnsi="Times New Roman" w:cs="Times New Roman"/>
                <w:color w:val="63666A" w:themeColor="text1"/>
                <w:sz w:val="10"/>
                <w:szCs w:val="10"/>
              </w:rPr>
            </w:pPr>
          </w:p>
          <w:p w14:paraId="4E9811E9" w14:textId="77777777" w:rsidR="006D00E3" w:rsidRPr="008744FC" w:rsidRDefault="006D00E3" w:rsidP="006D00E3">
            <w:pPr>
              <w:rPr>
                <w:rFonts w:ascii="Times New Roman" w:hAnsi="Times New Roman" w:cs="Times New Roman"/>
                <w:color w:val="63666A" w:themeColor="text1"/>
                <w:sz w:val="18"/>
                <w:szCs w:val="18"/>
              </w:rPr>
            </w:pPr>
            <w:r w:rsidRPr="008744FC">
              <w:rPr>
                <w:rFonts w:ascii="Times New Roman" w:hAnsi="Times New Roman" w:cs="Times New Roman"/>
                <w:b/>
                <w:bCs/>
                <w:color w:val="0050FF" w:themeColor="text2"/>
                <w:sz w:val="20"/>
                <w:szCs w:val="20"/>
              </w:rPr>
              <w:t>K</w:t>
            </w:r>
            <w:r w:rsidRPr="008744FC">
              <w:rPr>
                <w:rFonts w:ascii="Times New Roman" w:hAnsi="Times New Roman" w:cs="Times New Roman"/>
                <w:color w:val="63666A" w:themeColor="text1"/>
                <w:sz w:val="18"/>
                <w:szCs w:val="18"/>
              </w:rPr>
              <w:t>nowledge on how to change</w:t>
            </w:r>
          </w:p>
          <w:p w14:paraId="3AF3EB6A" w14:textId="77777777" w:rsidR="006D00E3" w:rsidRPr="008744FC" w:rsidRDefault="006D00E3" w:rsidP="006D00E3">
            <w:pPr>
              <w:rPr>
                <w:rFonts w:ascii="Times New Roman" w:hAnsi="Times New Roman" w:cs="Times New Roman"/>
                <w:color w:val="63666A" w:themeColor="text1"/>
                <w:sz w:val="10"/>
                <w:szCs w:val="10"/>
              </w:rPr>
            </w:pPr>
          </w:p>
          <w:p w14:paraId="3A9B1E32" w14:textId="77777777" w:rsidR="006D00E3" w:rsidRPr="008744FC" w:rsidRDefault="006D00E3" w:rsidP="006D00E3">
            <w:pPr>
              <w:rPr>
                <w:rFonts w:ascii="Times New Roman" w:hAnsi="Times New Roman" w:cs="Times New Roman"/>
                <w:color w:val="63666A" w:themeColor="text1"/>
                <w:sz w:val="18"/>
                <w:szCs w:val="18"/>
              </w:rPr>
            </w:pPr>
            <w:r w:rsidRPr="008744FC">
              <w:rPr>
                <w:rFonts w:ascii="Times New Roman" w:hAnsi="Times New Roman" w:cs="Times New Roman"/>
                <w:b/>
                <w:bCs/>
                <w:color w:val="0050FF" w:themeColor="text2"/>
                <w:sz w:val="20"/>
                <w:szCs w:val="20"/>
              </w:rPr>
              <w:t>A</w:t>
            </w:r>
            <w:r w:rsidRPr="008744FC">
              <w:rPr>
                <w:rFonts w:ascii="Times New Roman" w:hAnsi="Times New Roman" w:cs="Times New Roman"/>
                <w:color w:val="63666A" w:themeColor="text1"/>
                <w:sz w:val="18"/>
                <w:szCs w:val="18"/>
              </w:rPr>
              <w:t>bility to demonstrate skills and behaviors</w:t>
            </w:r>
          </w:p>
          <w:p w14:paraId="6BE23216" w14:textId="77777777" w:rsidR="006D00E3" w:rsidRPr="008744FC" w:rsidRDefault="006D00E3" w:rsidP="006D00E3">
            <w:pPr>
              <w:rPr>
                <w:rFonts w:ascii="Times New Roman" w:hAnsi="Times New Roman" w:cs="Times New Roman"/>
                <w:color w:val="63666A" w:themeColor="text1"/>
                <w:sz w:val="10"/>
                <w:szCs w:val="10"/>
              </w:rPr>
            </w:pPr>
          </w:p>
          <w:p w14:paraId="37E52B82" w14:textId="5FA87299" w:rsidR="006D00E3" w:rsidRPr="008744FC" w:rsidRDefault="006D00E3" w:rsidP="006D00E3">
            <w:pPr>
              <w:rPr>
                <w:rFonts w:ascii="Times New Roman" w:hAnsi="Times New Roman" w:cs="Times New Roman"/>
                <w:color w:val="63666A" w:themeColor="text1"/>
              </w:rPr>
            </w:pPr>
            <w:r w:rsidRPr="008744FC">
              <w:rPr>
                <w:rFonts w:ascii="Times New Roman" w:hAnsi="Times New Roman" w:cs="Times New Roman"/>
                <w:b/>
                <w:bCs/>
                <w:color w:val="0050FF" w:themeColor="text2"/>
                <w:sz w:val="20"/>
                <w:szCs w:val="20"/>
              </w:rPr>
              <w:t>R</w:t>
            </w:r>
            <w:r w:rsidRPr="008744FC">
              <w:rPr>
                <w:rFonts w:ascii="Times New Roman" w:hAnsi="Times New Roman" w:cs="Times New Roman"/>
                <w:color w:val="63666A" w:themeColor="text1"/>
                <w:sz w:val="18"/>
                <w:szCs w:val="18"/>
              </w:rPr>
              <w:t>einforcement to sustain the change</w:t>
            </w:r>
          </w:p>
        </w:tc>
      </w:tr>
      <w:tr w:rsidR="006D00E3" w:rsidRPr="008744FC" w14:paraId="0F2FFDDF" w14:textId="77777777" w:rsidTr="00C152A2">
        <w:tc>
          <w:tcPr>
            <w:tcW w:w="2605" w:type="dxa"/>
            <w:shd w:val="clear" w:color="auto" w:fill="auto"/>
          </w:tcPr>
          <w:p w14:paraId="6703B0EC" w14:textId="77777777" w:rsidR="006D00E3" w:rsidRPr="008744FC" w:rsidRDefault="006D00E3" w:rsidP="00AC6A08">
            <w:pPr>
              <w:rPr>
                <w:rFonts w:ascii="Arial" w:hAnsi="Arial" w:cs="Arial"/>
                <w:color w:val="FFFFFF" w:themeColor="background1"/>
                <w:sz w:val="13"/>
                <w:szCs w:val="13"/>
              </w:rPr>
            </w:pPr>
          </w:p>
        </w:tc>
        <w:tc>
          <w:tcPr>
            <w:tcW w:w="7925" w:type="dxa"/>
            <w:shd w:val="clear" w:color="auto" w:fill="auto"/>
          </w:tcPr>
          <w:p w14:paraId="13A72B2C" w14:textId="77777777" w:rsidR="006D00E3" w:rsidRPr="008744FC" w:rsidRDefault="006D00E3" w:rsidP="00AC6A08">
            <w:pPr>
              <w:rPr>
                <w:rFonts w:ascii="Times New Roman" w:hAnsi="Times New Roman" w:cs="Times New Roman"/>
                <w:color w:val="63666A" w:themeColor="text1"/>
                <w:sz w:val="13"/>
                <w:szCs w:val="13"/>
              </w:rPr>
            </w:pPr>
          </w:p>
        </w:tc>
      </w:tr>
      <w:tr w:rsidR="006D00E3" w:rsidRPr="008744FC" w14:paraId="2EC0246C" w14:textId="77777777" w:rsidTr="00C152A2">
        <w:tc>
          <w:tcPr>
            <w:tcW w:w="2605" w:type="dxa"/>
            <w:vMerge w:val="restart"/>
            <w:shd w:val="clear" w:color="auto" w:fill="0050FF" w:themeFill="text2"/>
          </w:tcPr>
          <w:p w14:paraId="680C89A2" w14:textId="77777777" w:rsidR="006D00E3" w:rsidRPr="008744FC" w:rsidRDefault="006D00E3" w:rsidP="006D00E3">
            <w:pPr>
              <w:spacing w:after="120"/>
              <w:rPr>
                <w:rFonts w:ascii="Arial" w:hAnsi="Arial" w:cs="Arial"/>
                <w:color w:val="FFFFFF" w:themeColor="background1"/>
                <w:sz w:val="28"/>
                <w:szCs w:val="28"/>
              </w:rPr>
            </w:pPr>
            <w:r w:rsidRPr="008744FC">
              <w:rPr>
                <w:rFonts w:ascii="Arial" w:hAnsi="Arial" w:cs="Arial"/>
                <w:color w:val="FFFFFF" w:themeColor="background1"/>
                <w:sz w:val="28"/>
                <w:szCs w:val="28"/>
              </w:rPr>
              <w:t>Liaison</w:t>
            </w:r>
          </w:p>
          <w:p w14:paraId="3F2B010B" w14:textId="0F2EE336" w:rsidR="006D00E3" w:rsidRPr="008744FC" w:rsidRDefault="006D00E3" w:rsidP="006D00E3">
            <w:pPr>
              <w:rPr>
                <w:rFonts w:ascii="Arial" w:hAnsi="Arial" w:cs="Arial"/>
                <w:color w:val="FFFFFF" w:themeColor="background1"/>
                <w:sz w:val="20"/>
                <w:szCs w:val="20"/>
              </w:rPr>
            </w:pPr>
            <w:r w:rsidRPr="008744FC">
              <w:rPr>
                <w:rFonts w:ascii="Arial" w:hAnsi="Arial" w:cs="Arial"/>
                <w:color w:val="FFFFFF" w:themeColor="background1"/>
                <w:sz w:val="20"/>
                <w:szCs w:val="20"/>
              </w:rPr>
              <w:t>Engages with and provides support to the Change Team</w:t>
            </w:r>
          </w:p>
        </w:tc>
        <w:tc>
          <w:tcPr>
            <w:tcW w:w="7925" w:type="dxa"/>
            <w:shd w:val="clear" w:color="auto" w:fill="F2F2F2" w:themeFill="background1" w:themeFillShade="F2"/>
          </w:tcPr>
          <w:p w14:paraId="2BB98354" w14:textId="77777777" w:rsidR="006D00E3" w:rsidRPr="008744FC" w:rsidRDefault="006D00E3" w:rsidP="006D00E3">
            <w:pPr>
              <w:rPr>
                <w:rFonts w:ascii="Arial" w:hAnsi="Arial" w:cs="Arial"/>
                <w:color w:val="0050FF" w:themeColor="text2"/>
                <w:sz w:val="20"/>
                <w:szCs w:val="20"/>
              </w:rPr>
            </w:pPr>
            <w:r w:rsidRPr="008744FC">
              <w:rPr>
                <w:rFonts w:ascii="Arial" w:hAnsi="Arial" w:cs="Arial"/>
                <w:color w:val="0050FF" w:themeColor="text2"/>
                <w:sz w:val="20"/>
                <w:szCs w:val="20"/>
              </w:rPr>
              <w:t>Responsibilities</w:t>
            </w:r>
          </w:p>
          <w:p w14:paraId="140D386C" w14:textId="77777777" w:rsidR="0097659D" w:rsidRPr="008744FC" w:rsidRDefault="006D00E3" w:rsidP="00AC6A08">
            <w:pPr>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Agents are in the best position to provide design input and feedback as well as to identify functionality needs and raise concerns during a project. Actively ensure you are working with the Change Team to get the information needed to communicate to your direct reports and peers as well as to provide feedback from employees to the team.</w:t>
            </w:r>
          </w:p>
          <w:p w14:paraId="6FD3E334" w14:textId="2B41BD70" w:rsidR="0097659D" w:rsidRPr="008744FC" w:rsidRDefault="0097659D" w:rsidP="00AC6A08">
            <w:pPr>
              <w:rPr>
                <w:rFonts w:ascii="Times New Roman" w:hAnsi="Times New Roman" w:cs="Times New Roman"/>
                <w:color w:val="63666A" w:themeColor="text1"/>
                <w:sz w:val="18"/>
                <w:szCs w:val="18"/>
              </w:rPr>
            </w:pPr>
          </w:p>
        </w:tc>
      </w:tr>
      <w:tr w:rsidR="006D00E3" w:rsidRPr="008744FC" w14:paraId="61939FAA" w14:textId="77777777" w:rsidTr="00C152A2">
        <w:tc>
          <w:tcPr>
            <w:tcW w:w="2605" w:type="dxa"/>
            <w:vMerge/>
          </w:tcPr>
          <w:p w14:paraId="1C4217AE" w14:textId="77777777" w:rsidR="006D00E3" w:rsidRPr="008744FC" w:rsidRDefault="006D00E3" w:rsidP="00AC6A08">
            <w:pPr>
              <w:rPr>
                <w:rFonts w:ascii="Arial" w:hAnsi="Arial" w:cs="Arial"/>
                <w:color w:val="FFFFFF" w:themeColor="background1"/>
                <w:sz w:val="28"/>
                <w:szCs w:val="28"/>
              </w:rPr>
            </w:pPr>
          </w:p>
        </w:tc>
        <w:tc>
          <w:tcPr>
            <w:tcW w:w="7925" w:type="dxa"/>
            <w:shd w:val="clear" w:color="auto" w:fill="F2F2F2" w:themeFill="background1" w:themeFillShade="F2"/>
          </w:tcPr>
          <w:p w14:paraId="4C783C73" w14:textId="77777777" w:rsidR="0097659D" w:rsidRPr="008744FC" w:rsidRDefault="0097659D" w:rsidP="0097659D">
            <w:pPr>
              <w:rPr>
                <w:rFonts w:ascii="Arial" w:hAnsi="Arial" w:cs="Arial"/>
                <w:color w:val="0050FF" w:themeColor="text2"/>
                <w:sz w:val="20"/>
                <w:szCs w:val="20"/>
              </w:rPr>
            </w:pPr>
            <w:r w:rsidRPr="008744FC">
              <w:rPr>
                <w:rFonts w:ascii="Arial" w:hAnsi="Arial" w:cs="Arial"/>
                <w:color w:val="0050FF" w:themeColor="text2"/>
                <w:sz w:val="20"/>
                <w:szCs w:val="20"/>
              </w:rPr>
              <w:t>Tactics</w:t>
            </w:r>
          </w:p>
          <w:p w14:paraId="245A4A12" w14:textId="77777777" w:rsidR="006D00E3" w:rsidRPr="008744FC" w:rsidRDefault="006D00E3" w:rsidP="006D00E3">
            <w:pPr>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Actively seek out opportunities to engage in the project by:</w:t>
            </w:r>
          </w:p>
          <w:p w14:paraId="36D85787" w14:textId="77777777" w:rsidR="006D00E3" w:rsidRPr="008744FC" w:rsidRDefault="006D00E3" w:rsidP="0097659D">
            <w:pPr>
              <w:pStyle w:val="ListParagraph"/>
              <w:numPr>
                <w:ilvl w:val="0"/>
                <w:numId w:val="3"/>
              </w:numPr>
              <w:ind w:left="253" w:hanging="197"/>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Encouraging accountability and expectation setting</w:t>
            </w:r>
          </w:p>
          <w:p w14:paraId="24A2985B" w14:textId="77777777" w:rsidR="006D00E3" w:rsidRPr="008744FC" w:rsidRDefault="006D00E3" w:rsidP="0097659D">
            <w:pPr>
              <w:pStyle w:val="ListParagraph"/>
              <w:numPr>
                <w:ilvl w:val="0"/>
                <w:numId w:val="3"/>
              </w:numPr>
              <w:ind w:left="253" w:hanging="197"/>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Making yourself available to the team and stakeholders</w:t>
            </w:r>
          </w:p>
          <w:p w14:paraId="2E933CE3" w14:textId="0CBBAB63" w:rsidR="006D00E3" w:rsidRPr="008744FC" w:rsidRDefault="006D00E3" w:rsidP="0097659D">
            <w:pPr>
              <w:pStyle w:val="ListParagraph"/>
              <w:numPr>
                <w:ilvl w:val="0"/>
                <w:numId w:val="3"/>
              </w:numPr>
              <w:ind w:left="253" w:hanging="197"/>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Not being afraid to ask questions</w:t>
            </w:r>
          </w:p>
        </w:tc>
      </w:tr>
      <w:tr w:rsidR="006D00E3" w:rsidRPr="008744FC" w14:paraId="4D120268" w14:textId="77777777" w:rsidTr="00C152A2">
        <w:tc>
          <w:tcPr>
            <w:tcW w:w="2605" w:type="dxa"/>
            <w:shd w:val="clear" w:color="auto" w:fill="auto"/>
          </w:tcPr>
          <w:p w14:paraId="7761165E" w14:textId="77777777" w:rsidR="006D00E3" w:rsidRPr="008744FC" w:rsidRDefault="006D00E3" w:rsidP="00AC6A08">
            <w:pPr>
              <w:rPr>
                <w:rFonts w:ascii="Arial" w:hAnsi="Arial" w:cs="Arial"/>
                <w:color w:val="FFFFFF" w:themeColor="background1"/>
                <w:sz w:val="13"/>
                <w:szCs w:val="13"/>
              </w:rPr>
            </w:pPr>
          </w:p>
        </w:tc>
        <w:tc>
          <w:tcPr>
            <w:tcW w:w="7925" w:type="dxa"/>
            <w:shd w:val="clear" w:color="auto" w:fill="auto"/>
          </w:tcPr>
          <w:p w14:paraId="62A41DA4" w14:textId="77777777" w:rsidR="006D00E3" w:rsidRPr="008744FC" w:rsidRDefault="006D00E3" w:rsidP="00AC6A08">
            <w:pPr>
              <w:rPr>
                <w:rFonts w:ascii="Times New Roman" w:hAnsi="Times New Roman" w:cs="Times New Roman"/>
                <w:color w:val="63666A" w:themeColor="text1"/>
                <w:sz w:val="13"/>
                <w:szCs w:val="13"/>
              </w:rPr>
            </w:pPr>
          </w:p>
        </w:tc>
      </w:tr>
      <w:tr w:rsidR="006D00E3" w:rsidRPr="008744FC" w14:paraId="0DEDC423" w14:textId="77777777" w:rsidTr="00C152A2">
        <w:tc>
          <w:tcPr>
            <w:tcW w:w="2605" w:type="dxa"/>
            <w:vMerge w:val="restart"/>
            <w:shd w:val="clear" w:color="auto" w:fill="0050FF" w:themeFill="text2"/>
          </w:tcPr>
          <w:p w14:paraId="486F7126" w14:textId="77777777" w:rsidR="006D00E3" w:rsidRPr="008744FC" w:rsidRDefault="006D00E3" w:rsidP="006D00E3">
            <w:pPr>
              <w:spacing w:after="120"/>
              <w:rPr>
                <w:rFonts w:ascii="Arial" w:hAnsi="Arial" w:cs="Arial"/>
                <w:color w:val="FFFFFF" w:themeColor="background1"/>
                <w:sz w:val="28"/>
                <w:szCs w:val="28"/>
              </w:rPr>
            </w:pPr>
            <w:r w:rsidRPr="008744FC">
              <w:rPr>
                <w:rFonts w:ascii="Arial" w:hAnsi="Arial" w:cs="Arial"/>
                <w:color w:val="FFFFFF" w:themeColor="background1"/>
                <w:sz w:val="28"/>
                <w:szCs w:val="28"/>
              </w:rPr>
              <w:t>Resistance Manager</w:t>
            </w:r>
          </w:p>
          <w:p w14:paraId="46F323DA" w14:textId="2348B07D" w:rsidR="006D00E3" w:rsidRPr="008744FC" w:rsidRDefault="006D00E3" w:rsidP="006D00E3">
            <w:pPr>
              <w:rPr>
                <w:rFonts w:ascii="Arial" w:hAnsi="Arial" w:cs="Arial"/>
                <w:color w:val="FFFFFF" w:themeColor="background1"/>
                <w:sz w:val="20"/>
                <w:szCs w:val="20"/>
              </w:rPr>
            </w:pPr>
            <w:r w:rsidRPr="008744FC">
              <w:rPr>
                <w:rFonts w:ascii="Arial" w:hAnsi="Arial" w:cs="Arial"/>
                <w:color w:val="FFFFFF" w:themeColor="background1"/>
                <w:sz w:val="20"/>
                <w:szCs w:val="20"/>
              </w:rPr>
              <w:t>Identifies and manages resistance</w:t>
            </w:r>
          </w:p>
        </w:tc>
        <w:tc>
          <w:tcPr>
            <w:tcW w:w="7925" w:type="dxa"/>
            <w:shd w:val="clear" w:color="auto" w:fill="F2F2F2" w:themeFill="background1" w:themeFillShade="F2"/>
          </w:tcPr>
          <w:p w14:paraId="06EFED0F" w14:textId="77777777" w:rsidR="006D00E3" w:rsidRPr="008744FC" w:rsidRDefault="006D00E3" w:rsidP="006D00E3">
            <w:pPr>
              <w:rPr>
                <w:rFonts w:ascii="Arial" w:hAnsi="Arial" w:cs="Arial"/>
                <w:color w:val="0050FF" w:themeColor="text2"/>
                <w:sz w:val="20"/>
                <w:szCs w:val="20"/>
              </w:rPr>
            </w:pPr>
            <w:r w:rsidRPr="008744FC">
              <w:rPr>
                <w:rFonts w:ascii="Arial" w:hAnsi="Arial" w:cs="Arial"/>
                <w:color w:val="0050FF" w:themeColor="text2"/>
                <w:sz w:val="20"/>
                <w:szCs w:val="20"/>
              </w:rPr>
              <w:t>Responsibilities</w:t>
            </w:r>
          </w:p>
          <w:p w14:paraId="30075FD8" w14:textId="18E4E25A" w:rsidR="0097659D" w:rsidRPr="008744FC" w:rsidRDefault="006D00E3" w:rsidP="00AC6A08">
            <w:pPr>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Use the same ADKAR model for coaching employees to ho</w:t>
            </w:r>
            <w:r w:rsidR="002752DA">
              <w:rPr>
                <w:rFonts w:ascii="Times New Roman" w:hAnsi="Times New Roman" w:cs="Times New Roman"/>
                <w:color w:val="63666A" w:themeColor="text1"/>
                <w:sz w:val="18"/>
                <w:szCs w:val="18"/>
              </w:rPr>
              <w:t>n</w:t>
            </w:r>
            <w:bookmarkStart w:id="0" w:name="_GoBack"/>
            <w:bookmarkEnd w:id="0"/>
            <w:r w:rsidRPr="008744FC">
              <w:rPr>
                <w:rFonts w:ascii="Times New Roman" w:hAnsi="Times New Roman" w:cs="Times New Roman"/>
                <w:color w:val="63666A" w:themeColor="text1"/>
                <w:sz w:val="18"/>
                <w:szCs w:val="18"/>
              </w:rPr>
              <w:t>e in on and address gaps in the process that may lead to resistance. Resistance can be passive – ignoring messages or withholding information – or it can be active – finding faults (in a non-constructive manner), appealing to fear, ridiculing.</w:t>
            </w:r>
          </w:p>
          <w:p w14:paraId="78B33463" w14:textId="1ABBC1D2" w:rsidR="0097659D" w:rsidRPr="008744FC" w:rsidRDefault="0097659D" w:rsidP="00AC6A08">
            <w:pPr>
              <w:rPr>
                <w:rFonts w:ascii="Times New Roman" w:hAnsi="Times New Roman" w:cs="Times New Roman"/>
                <w:color w:val="63666A" w:themeColor="text1"/>
                <w:sz w:val="18"/>
                <w:szCs w:val="18"/>
              </w:rPr>
            </w:pPr>
          </w:p>
        </w:tc>
      </w:tr>
      <w:tr w:rsidR="006D00E3" w:rsidRPr="008744FC" w14:paraId="015A2190" w14:textId="77777777" w:rsidTr="00C152A2">
        <w:tc>
          <w:tcPr>
            <w:tcW w:w="2605" w:type="dxa"/>
            <w:vMerge/>
          </w:tcPr>
          <w:p w14:paraId="758A2417" w14:textId="77777777" w:rsidR="006D00E3" w:rsidRPr="008744FC" w:rsidRDefault="006D00E3" w:rsidP="00AC6A08">
            <w:pPr>
              <w:rPr>
                <w:rFonts w:ascii="Times New Roman" w:hAnsi="Times New Roman" w:cs="Times New Roman"/>
                <w:color w:val="63666A" w:themeColor="text1"/>
              </w:rPr>
            </w:pPr>
          </w:p>
        </w:tc>
        <w:tc>
          <w:tcPr>
            <w:tcW w:w="7925" w:type="dxa"/>
            <w:shd w:val="clear" w:color="auto" w:fill="F2F2F2" w:themeFill="background1" w:themeFillShade="F2"/>
          </w:tcPr>
          <w:p w14:paraId="3BB3F001" w14:textId="77777777" w:rsidR="0097659D" w:rsidRPr="008744FC" w:rsidRDefault="0097659D" w:rsidP="0097659D">
            <w:pPr>
              <w:rPr>
                <w:rFonts w:ascii="Arial" w:hAnsi="Arial" w:cs="Arial"/>
                <w:color w:val="0050FF" w:themeColor="text2"/>
                <w:sz w:val="20"/>
                <w:szCs w:val="20"/>
              </w:rPr>
            </w:pPr>
            <w:r w:rsidRPr="008744FC">
              <w:rPr>
                <w:rFonts w:ascii="Arial" w:hAnsi="Arial" w:cs="Arial"/>
                <w:color w:val="0050FF" w:themeColor="text2"/>
                <w:sz w:val="20"/>
                <w:szCs w:val="20"/>
              </w:rPr>
              <w:t>Tactics</w:t>
            </w:r>
          </w:p>
          <w:p w14:paraId="290647E0" w14:textId="77777777" w:rsidR="006D00E3" w:rsidRPr="008744FC" w:rsidRDefault="006D00E3" w:rsidP="006D00E3">
            <w:pPr>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When unsure of have to address resistance try on of the following tactics:</w:t>
            </w:r>
          </w:p>
          <w:p w14:paraId="710021E8" w14:textId="77777777" w:rsidR="006D00E3" w:rsidRPr="008744FC" w:rsidRDefault="006D00E3" w:rsidP="0097659D">
            <w:pPr>
              <w:pStyle w:val="ListParagraph"/>
              <w:numPr>
                <w:ilvl w:val="0"/>
                <w:numId w:val="2"/>
              </w:numPr>
              <w:tabs>
                <w:tab w:val="left" w:pos="793"/>
              </w:tabs>
              <w:ind w:left="253" w:hanging="180"/>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Engage the Executive Sponsor</w:t>
            </w:r>
          </w:p>
          <w:p w14:paraId="2D21B0B3" w14:textId="77777777" w:rsidR="006D00E3" w:rsidRPr="008744FC" w:rsidRDefault="006D00E3" w:rsidP="0097659D">
            <w:pPr>
              <w:pStyle w:val="ListParagraph"/>
              <w:numPr>
                <w:ilvl w:val="0"/>
                <w:numId w:val="2"/>
              </w:numPr>
              <w:tabs>
                <w:tab w:val="left" w:pos="793"/>
              </w:tabs>
              <w:ind w:left="253" w:hanging="180"/>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Communicate proactively</w:t>
            </w:r>
          </w:p>
          <w:p w14:paraId="0084A0C4" w14:textId="77777777" w:rsidR="006D00E3" w:rsidRPr="008744FC" w:rsidRDefault="006D00E3" w:rsidP="0097659D">
            <w:pPr>
              <w:pStyle w:val="ListParagraph"/>
              <w:numPr>
                <w:ilvl w:val="0"/>
                <w:numId w:val="2"/>
              </w:numPr>
              <w:tabs>
                <w:tab w:val="left" w:pos="793"/>
              </w:tabs>
              <w:ind w:left="253" w:hanging="180"/>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Confront resistors directly</w:t>
            </w:r>
          </w:p>
          <w:p w14:paraId="4F977B18" w14:textId="7B183B98" w:rsidR="006D00E3" w:rsidRPr="008744FC" w:rsidRDefault="006D00E3" w:rsidP="0097659D">
            <w:pPr>
              <w:pStyle w:val="ListParagraph"/>
              <w:numPr>
                <w:ilvl w:val="0"/>
                <w:numId w:val="2"/>
              </w:numPr>
              <w:tabs>
                <w:tab w:val="left" w:pos="793"/>
              </w:tabs>
              <w:ind w:left="253" w:hanging="180"/>
              <w:rPr>
                <w:rFonts w:ascii="Times New Roman" w:hAnsi="Times New Roman" w:cs="Times New Roman"/>
                <w:color w:val="63666A" w:themeColor="text1"/>
                <w:sz w:val="18"/>
                <w:szCs w:val="18"/>
              </w:rPr>
            </w:pPr>
            <w:r w:rsidRPr="008744FC">
              <w:rPr>
                <w:rFonts w:ascii="Times New Roman" w:hAnsi="Times New Roman" w:cs="Times New Roman"/>
                <w:color w:val="63666A" w:themeColor="text1"/>
                <w:sz w:val="18"/>
                <w:szCs w:val="18"/>
              </w:rPr>
              <w:t>Involve resistors in the project or solution design</w:t>
            </w:r>
          </w:p>
        </w:tc>
      </w:tr>
    </w:tbl>
    <w:p w14:paraId="2D7AD5B9" w14:textId="7B9EB8D7" w:rsidR="00AC6A08" w:rsidRPr="006D00E3" w:rsidRDefault="157543D6" w:rsidP="00C152A2">
      <w:pPr>
        <w:spacing w:before="120"/>
        <w:ind w:left="720"/>
        <w:jc w:val="right"/>
        <w:rPr>
          <w:rStyle w:val="Hyperlink"/>
          <w:rFonts w:ascii="Lora" w:hAnsi="Lora"/>
          <w:color w:val="63666A" w:themeColor="text1"/>
        </w:rPr>
      </w:pPr>
      <w:r w:rsidRPr="157543D6">
        <w:rPr>
          <w:rFonts w:ascii="Times New Roman" w:hAnsi="Times New Roman" w:cs="Times New Roman"/>
          <w:color w:val="63666A" w:themeColor="text1"/>
        </w:rPr>
        <w:t xml:space="preserve">Source: Adapted from PROSCI© “Manager/Supervisor’s Role in Change Management” </w:t>
      </w:r>
      <w:hyperlink r:id="rId5">
        <w:r w:rsidRPr="157543D6">
          <w:rPr>
            <w:rStyle w:val="Hyperlink"/>
            <w:rFonts w:ascii="Times New Roman" w:hAnsi="Times New Roman" w:cs="Times New Roman"/>
            <w:color w:val="63666A" w:themeColor="text1"/>
          </w:rPr>
          <w:t>https://www.prosci.com/resources/articles/manager-change-management-role</w:t>
        </w:r>
      </w:hyperlink>
    </w:p>
    <w:sectPr w:rsidR="00AC6A08" w:rsidRPr="006D00E3" w:rsidSect="002A58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Regular">
    <w:altName w:val="Courier New"/>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panose1 w:val="00000500000000000000"/>
    <w:charset w:val="00"/>
    <w:family w:val="auto"/>
    <w:pitch w:val="variable"/>
    <w:sig w:usb0="20000207" w:usb1="00000000"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353"/>
    <w:multiLevelType w:val="hybridMultilevel"/>
    <w:tmpl w:val="BED212AE"/>
    <w:lvl w:ilvl="0" w:tplc="04A0BFE0">
      <w:start w:val="1"/>
      <w:numFmt w:val="bullet"/>
      <w:lvlText w:val=""/>
      <w:lvlJc w:val="left"/>
      <w:pPr>
        <w:ind w:left="720" w:hanging="360"/>
      </w:pPr>
      <w:rPr>
        <w:rFonts w:ascii="Wingdings" w:hAnsi="Wingdings" w:hint="default"/>
        <w:color w:val="005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9474D0"/>
    <w:multiLevelType w:val="hybridMultilevel"/>
    <w:tmpl w:val="59E2C122"/>
    <w:lvl w:ilvl="0" w:tplc="DB02575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269ED"/>
    <w:multiLevelType w:val="hybridMultilevel"/>
    <w:tmpl w:val="FF36738A"/>
    <w:lvl w:ilvl="0" w:tplc="04A0BFE0">
      <w:start w:val="1"/>
      <w:numFmt w:val="bullet"/>
      <w:lvlText w:val=""/>
      <w:lvlJc w:val="left"/>
      <w:pPr>
        <w:ind w:left="720" w:hanging="360"/>
      </w:pPr>
      <w:rPr>
        <w:rFonts w:ascii="Wingdings" w:hAnsi="Wingdings" w:hint="default"/>
        <w:color w:val="005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7B2A1C"/>
    <w:multiLevelType w:val="hybridMultilevel"/>
    <w:tmpl w:val="6C660F94"/>
    <w:lvl w:ilvl="0" w:tplc="04A0BFE0">
      <w:start w:val="1"/>
      <w:numFmt w:val="bullet"/>
      <w:lvlText w:val=""/>
      <w:lvlJc w:val="left"/>
      <w:pPr>
        <w:ind w:left="720" w:hanging="360"/>
      </w:pPr>
      <w:rPr>
        <w:rFonts w:ascii="Wingdings" w:hAnsi="Wingdings" w:hint="default"/>
        <w:color w:val="0051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08"/>
    <w:rsid w:val="002752DA"/>
    <w:rsid w:val="002A587A"/>
    <w:rsid w:val="006D00E3"/>
    <w:rsid w:val="008744FC"/>
    <w:rsid w:val="0097659D"/>
    <w:rsid w:val="00AC6A08"/>
    <w:rsid w:val="00B1160C"/>
    <w:rsid w:val="00C152A2"/>
    <w:rsid w:val="1575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3FC5"/>
  <w15:chartTrackingRefBased/>
  <w15:docId w15:val="{6ACE0A59-5A59-4E1A-A093-462C2762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A08"/>
    <w:rPr>
      <w:rFonts w:ascii="Segoe UI" w:hAnsi="Segoe UI" w:cs="Segoe UI"/>
      <w:sz w:val="18"/>
      <w:szCs w:val="18"/>
    </w:rPr>
  </w:style>
  <w:style w:type="paragraph" w:styleId="ListParagraph">
    <w:name w:val="List Paragraph"/>
    <w:basedOn w:val="Normal"/>
    <w:uiPriority w:val="34"/>
    <w:qFormat/>
    <w:rsid w:val="00AC6A08"/>
    <w:pPr>
      <w:ind w:left="720"/>
      <w:contextualSpacing/>
    </w:pPr>
  </w:style>
  <w:style w:type="table" w:styleId="TableGrid">
    <w:name w:val="Table Grid"/>
    <w:basedOn w:val="TableNormal"/>
    <w:uiPriority w:val="59"/>
    <w:rsid w:val="00AC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A08"/>
    <w:rPr>
      <w:color w:val="0000FF"/>
      <w:u w:val="single"/>
    </w:rPr>
  </w:style>
  <w:style w:type="character" w:styleId="CommentReference">
    <w:name w:val="annotation reference"/>
    <w:basedOn w:val="DefaultParagraphFont"/>
    <w:uiPriority w:val="99"/>
    <w:semiHidden/>
    <w:unhideWhenUsed/>
    <w:rsid w:val="00AC6A08"/>
    <w:rPr>
      <w:sz w:val="16"/>
      <w:szCs w:val="16"/>
    </w:rPr>
  </w:style>
  <w:style w:type="paragraph" w:styleId="CommentText">
    <w:name w:val="annotation text"/>
    <w:basedOn w:val="Normal"/>
    <w:link w:val="CommentTextChar"/>
    <w:uiPriority w:val="99"/>
    <w:semiHidden/>
    <w:unhideWhenUsed/>
    <w:rsid w:val="00AC6A08"/>
    <w:pPr>
      <w:spacing w:line="240" w:lineRule="auto"/>
    </w:pPr>
    <w:rPr>
      <w:sz w:val="20"/>
      <w:szCs w:val="20"/>
    </w:rPr>
  </w:style>
  <w:style w:type="character" w:customStyle="1" w:styleId="CommentTextChar">
    <w:name w:val="Comment Text Char"/>
    <w:basedOn w:val="DefaultParagraphFont"/>
    <w:link w:val="CommentText"/>
    <w:uiPriority w:val="99"/>
    <w:semiHidden/>
    <w:rsid w:val="00AC6A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sci.com/resources/articles/manager-change-management-role" TargetMode="External"/><Relationship Id="rId4" Type="http://schemas.openxmlformats.org/officeDocument/2006/relationships/webSettings" Target="webSettings.xml"/></Relationships>
</file>

<file path=word/theme/theme1.xml><?xml version="1.0" encoding="utf-8"?>
<a:theme xmlns:a="http://schemas.openxmlformats.org/drawingml/2006/main" name="Wipfli Theme">
  <a:themeElements>
    <a:clrScheme name="Wipfli Colors">
      <a:dk1>
        <a:srgbClr val="63666A"/>
      </a:dk1>
      <a:lt1>
        <a:sysClr val="window" lastClr="FFFFFF"/>
      </a:lt1>
      <a:dk2>
        <a:srgbClr val="0050FF"/>
      </a:dk2>
      <a:lt2>
        <a:srgbClr val="D0D3D4"/>
      </a:lt2>
      <a:accent1>
        <a:srgbClr val="8B84D7"/>
      </a:accent1>
      <a:accent2>
        <a:srgbClr val="ABCAE9"/>
      </a:accent2>
      <a:accent3>
        <a:srgbClr val="1D8296"/>
      </a:accent3>
      <a:accent4>
        <a:srgbClr val="676D99"/>
      </a:accent4>
      <a:accent5>
        <a:srgbClr val="41B6E6"/>
      </a:accent5>
      <a:accent6>
        <a:srgbClr val="00683B"/>
      </a:accent6>
      <a:hlink>
        <a:srgbClr val="0050FF"/>
      </a:hlink>
      <a:folHlink>
        <a:srgbClr val="D0D3D4"/>
      </a:folHlink>
    </a:clrScheme>
    <a:fontScheme name="Wipfli Fonts">
      <a:majorFont>
        <a:latin typeface="Montserrat Regular"/>
        <a:ea typeface=""/>
        <a:cs typeface=""/>
      </a:majorFont>
      <a:minorFont>
        <a:latin typeface="Montserrat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extLst>
    <a:ext uri="{05A4C25C-085E-4340-85A3-A5531E510DB2}">
      <thm15:themeFamily xmlns:thm15="http://schemas.microsoft.com/office/thememl/2012/main" name="Wipfli Theme" id="{A3B7238A-1301-F547-B6A8-16A925B3D4D6}" vid="{40F30BEC-CF33-3F42-9442-63DEEA5F7C56}"/>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Schmedding, Teresa</dc:creator>
  <cp:keywords/>
  <dc:description/>
  <cp:lastModifiedBy>Morris, Zaikeya</cp:lastModifiedBy>
  <cp:revision>2</cp:revision>
  <dcterms:created xsi:type="dcterms:W3CDTF">2020-03-23T23:15:00Z</dcterms:created>
  <dcterms:modified xsi:type="dcterms:W3CDTF">2020-03-23T23:15:00Z</dcterms:modified>
</cp:coreProperties>
</file>